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公司金融错题</w:t>
      </w:r>
    </w:p>
    <w:p>
      <w:pPr>
        <w:rPr>
          <w:rFonts w:hint="eastAsia" w:ascii="Arial" w:hAnsi="Arial" w:cs="Arial"/>
          <w:color w:val="FF0000"/>
          <w:lang w:val="en-US" w:eastAsia="zh-CN"/>
        </w:rPr>
      </w:pPr>
      <w:r>
        <w:rPr>
          <w:rFonts w:hint="eastAsia"/>
          <w:lang w:val="en-US" w:eastAsia="zh-CN"/>
        </w:rPr>
        <w:t>1.税前利润已经减去了折旧，税前利润=收入-成本-折旧，因此在计算税后现金流的时候，应当用公式：</w:t>
      </w:r>
      <w:r>
        <w:rPr>
          <w:rFonts w:hint="eastAsia"/>
          <w:color w:val="FF0000"/>
          <w:highlight w:val="yellow"/>
          <w:lang w:val="en-US" w:eastAsia="zh-CN"/>
        </w:rPr>
        <w:t>税前利润</w:t>
      </w:r>
      <w:r>
        <w:rPr>
          <w:rFonts w:hint="default" w:ascii="Arial" w:hAnsi="Arial" w:cs="Arial"/>
          <w:color w:val="FF0000"/>
          <w:highlight w:val="yellow"/>
          <w:lang w:val="en-US" w:eastAsia="zh-CN"/>
        </w:rPr>
        <w:t>×</w:t>
      </w:r>
      <w:r>
        <w:rPr>
          <w:rFonts w:hint="eastAsia" w:ascii="Arial" w:hAnsi="Arial" w:cs="Arial"/>
          <w:color w:val="FF0000"/>
          <w:highlight w:val="yellow"/>
          <w:lang w:val="en-US" w:eastAsia="zh-CN"/>
        </w:rPr>
        <w:t>（1-税率）+折旧</w:t>
      </w:r>
      <w:r>
        <w:rPr>
          <w:rFonts w:hint="eastAsia" w:ascii="Arial" w:hAnsi="Arial" w:cs="Arial"/>
          <w:lang w:val="en-US" w:eastAsia="zh-CN"/>
        </w:rPr>
        <w:t xml:space="preserve">   </w:t>
      </w:r>
      <w:r>
        <w:rPr>
          <w:rFonts w:hint="eastAsia" w:ascii="Arial" w:hAnsi="Arial" w:cs="Arial"/>
          <w:color w:val="FF0000"/>
          <w:lang w:val="en-US" w:eastAsia="zh-CN"/>
        </w:rPr>
        <w:t>不要再乘税率了啊啊啊啊</w:t>
      </w:r>
    </w:p>
    <w:p>
      <w:pPr>
        <w:rPr>
          <w:rFonts w:hint="eastAsia" w:ascii="Arial" w:hAnsi="Arial" w:cs="Arial"/>
          <w:color w:val="auto"/>
          <w:lang w:val="en-US" w:eastAsia="zh-CN"/>
        </w:rPr>
      </w:pPr>
      <w:r>
        <w:rPr>
          <w:rFonts w:hint="eastAsia" w:ascii="Arial" w:hAnsi="Arial" w:cs="Arial"/>
          <w:color w:val="auto"/>
          <w:lang w:val="en-US" w:eastAsia="zh-CN"/>
        </w:rPr>
        <w:t>2.销售百分比法，随着销售额变动的有：固定资产</w:t>
      </w:r>
      <w:r>
        <w:rPr>
          <w:rFonts w:hint="eastAsia" w:ascii="Arial" w:hAnsi="Arial" w:cs="Arial"/>
          <w:color w:val="FF0000"/>
          <w:lang w:val="en-US" w:eastAsia="zh-CN"/>
        </w:rPr>
        <w:t>净</w:t>
      </w:r>
      <w:r>
        <w:rPr>
          <w:rFonts w:hint="eastAsia" w:ascii="Arial" w:hAnsi="Arial" w:cs="Arial"/>
          <w:color w:val="auto"/>
          <w:lang w:val="en-US" w:eastAsia="zh-CN"/>
        </w:rPr>
        <w:t>额、流动资产、应付账款</w:t>
      </w:r>
    </w:p>
    <w:p>
      <w:pPr>
        <w:rPr>
          <w:rFonts w:hint="eastAsia" w:ascii="Arial" w:hAnsi="Arial" w:cs="Arial"/>
          <w:color w:val="auto"/>
          <w:lang w:val="en-US" w:eastAsia="zh-CN"/>
        </w:rPr>
      </w:pPr>
      <w:r>
        <w:rPr>
          <w:rFonts w:hint="eastAsia" w:ascii="Arial" w:hAnsi="Arial" w:cs="Arial"/>
          <w:color w:val="auto"/>
          <w:lang w:val="en-US" w:eastAsia="zh-CN"/>
        </w:rPr>
        <w:t>不随之变动的有：折旧、利息、除了应付账款的负债和权益</w:t>
      </w:r>
    </w:p>
    <w:p>
      <w:pPr>
        <w:numPr>
          <w:ilvl w:val="0"/>
          <w:numId w:val="1"/>
        </w:numPr>
        <w:rPr>
          <w:rFonts w:hint="eastAsia" w:ascii="Arial" w:hAnsi="Arial" w:cs="Arial"/>
          <w:color w:val="auto"/>
          <w:lang w:val="en-US" w:eastAsia="zh-CN"/>
        </w:rPr>
      </w:pPr>
      <w:r>
        <w:rPr>
          <w:rFonts w:hint="eastAsia" w:ascii="Arial" w:hAnsi="Arial" w:cs="Arial"/>
          <w:color w:val="FF0000"/>
          <w:lang w:val="en-US" w:eastAsia="zh-CN"/>
        </w:rPr>
        <w:t>支付政策的灵活性</w:t>
      </w:r>
      <w:r>
        <w:rPr>
          <w:rFonts w:hint="eastAsia" w:ascii="Arial" w:hAnsi="Arial" w:cs="Arial"/>
          <w:color w:val="auto"/>
          <w:lang w:val="en-US" w:eastAsia="zh-CN"/>
        </w:rPr>
        <w:t>会使得公司更加偏好现金股利的发放而非进行股份回购</w:t>
      </w:r>
    </w:p>
    <w:p>
      <w:pPr>
        <w:numPr>
          <w:ilvl w:val="0"/>
          <w:numId w:val="1"/>
        </w:numPr>
        <w:rPr>
          <w:rFonts w:hint="default" w:ascii="Arial" w:hAnsi="Arial" w:cs="Arial"/>
          <w:color w:val="auto"/>
          <w:lang w:val="en-US" w:eastAsia="zh-CN"/>
        </w:rPr>
      </w:pPr>
      <w:r>
        <w:rPr>
          <w:rFonts w:hint="eastAsia" w:ascii="Arial" w:hAnsi="Arial" w:cs="Arial"/>
          <w:color w:val="auto"/>
          <w:lang w:val="en-US" w:eastAsia="zh-CN"/>
        </w:rPr>
        <w:t>现金股利和股份回购均可以解决股东和管理层之间的代理问题</w:t>
      </w:r>
    </w:p>
    <w:p>
      <w:pPr>
        <w:numPr>
          <w:ilvl w:val="0"/>
          <w:numId w:val="1"/>
        </w:numPr>
        <w:rPr>
          <w:rFonts w:hint="default" w:ascii="Arial" w:hAnsi="Arial" w:cs="Arial"/>
          <w:color w:val="auto"/>
          <w:lang w:val="en-US" w:eastAsia="zh-CN"/>
        </w:rPr>
      </w:pPr>
      <w:r>
        <w:rPr>
          <w:rFonts w:hint="eastAsia" w:ascii="Arial" w:hAnsi="Arial" w:cs="Arial"/>
          <w:color w:val="auto"/>
          <w:lang w:val="en-US" w:eastAsia="zh-CN"/>
        </w:rPr>
        <w:t>公司分配</w:t>
      </w:r>
      <w:r>
        <w:rPr>
          <w:rFonts w:hint="eastAsia" w:ascii="Arial" w:hAnsi="Arial" w:cs="Arial"/>
          <w:color w:val="FF0000"/>
          <w:lang w:val="en-US" w:eastAsia="zh-CN"/>
        </w:rPr>
        <w:t>高现金股利</w:t>
      </w:r>
      <w:r>
        <w:rPr>
          <w:rFonts w:hint="eastAsia" w:ascii="Arial" w:hAnsi="Arial" w:cs="Arial"/>
          <w:color w:val="auto"/>
          <w:lang w:val="en-US" w:eastAsia="zh-CN"/>
        </w:rPr>
        <w:t>的原因有：投资者担心自己自控能力较差时出售过多证券；公司想向市场发出信号提升投资者对其的预期；</w:t>
      </w:r>
      <w:r>
        <w:rPr>
          <w:rFonts w:hint="eastAsia"/>
        </w:rPr>
        <w:t>投资者更偏好当期收入，且出售证券交易成本太高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Arial" w:hAnsi="Arial" w:cs="Arial" w:eastAsiaTheme="minorEastAsia"/>
          <w:color w:val="auto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Arial" w:hAnsi="Arial" w:cs="Arial" w:eastAsiaTheme="minorEastAsia"/>
          <w:color w:val="auto"/>
          <w:lang w:val="en-US" w:eastAsia="zh-CN"/>
        </w:rPr>
      </w:pPr>
      <w:r>
        <w:rPr>
          <w:rFonts w:hint="eastAsia" w:ascii="Arial" w:hAnsi="Arial" w:cs="Arial" w:eastAsiaTheme="minorEastAsia"/>
          <w:color w:val="auto"/>
          <w:lang w:val="en-US" w:eastAsia="zh-CN"/>
        </w:rPr>
        <w:drawing>
          <wp:inline distT="0" distB="0" distL="114300" distR="114300">
            <wp:extent cx="4066540" cy="926465"/>
            <wp:effectExtent l="0" t="0" r="0" b="0"/>
            <wp:docPr id="1" name="图片 1" descr="截屏2024-06-04 14.21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4-06-04 14.21.43"/>
                    <pic:cNvPicPr>
                      <a:picLocks noChangeAspect="1"/>
                    </pic:cNvPicPr>
                  </pic:nvPicPr>
                  <pic:blipFill>
                    <a:blip r:embed="rId4"/>
                    <a:srcRect l="10279" t="43940" r="12462" b="27025"/>
                    <a:stretch>
                      <a:fillRect/>
                    </a:stretch>
                  </pic:blipFill>
                  <pic:spPr>
                    <a:xfrm>
                      <a:off x="0" y="0"/>
                      <a:ext cx="406654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 w:ascii="Arial" w:hAnsi="Arial" w:cs="Arial"/>
          <w:color w:val="auto"/>
          <w:lang w:val="en-US" w:eastAsia="zh-CN"/>
        </w:rPr>
        <w:t>公司发放股票股利的原因：保</w:t>
      </w:r>
      <w:r>
        <w:rPr>
          <w:rFonts w:hint="eastAsia"/>
        </w:rPr>
        <w:t>持股价在一个投资者偏好的交易范围内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股票股利没有信号作用</w:t>
      </w:r>
      <w:r>
        <w:rPr>
          <w:rFonts w:hint="eastAsia"/>
          <w:lang w:val="en-US" w:eastAsia="zh-CN"/>
        </w:rPr>
        <w:t>，股票回购和现金股利有积极的信号作用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发放现金股利和股票回购会使</w:t>
      </w:r>
      <w:r>
        <w:rPr>
          <w:rFonts w:hint="eastAsia"/>
          <w:color w:val="FF0000"/>
          <w:lang w:val="en-US" w:eastAsia="zh-CN"/>
        </w:rPr>
        <w:t>公司总资产价值下降</w:t>
      </w:r>
      <w:r>
        <w:rPr>
          <w:rFonts w:hint="eastAsia"/>
          <w:lang w:val="en-US" w:eastAsia="zh-CN"/>
        </w:rPr>
        <w:t>（现金减少），从公司流向投资人。</w:t>
      </w:r>
    </w:p>
    <w:p>
      <w:pPr>
        <w:numPr>
          <w:ilvl w:val="0"/>
          <w:numId w:val="0"/>
        </w:numPr>
        <w:rPr>
          <w:rFonts w:hint="default" w:ascii="Arial" w:hAnsi="Arial" w:cs="Arial"/>
          <w:color w:val="FF0000"/>
          <w:lang w:val="en-US" w:eastAsia="zh-CN"/>
        </w:rPr>
      </w:pPr>
      <w:r>
        <w:rPr>
          <w:rFonts w:hint="eastAsia" w:ascii="Arial" w:hAnsi="Arial" w:cs="Arial"/>
          <w:color w:val="auto"/>
          <w:lang w:val="en-US" w:eastAsia="zh-CN"/>
        </w:rPr>
        <w:t>7.NPV法优点：考虑了投资风险</w:t>
      </w:r>
      <w:r>
        <w:rPr>
          <w:rFonts w:hint="default" w:ascii="Arial" w:hAnsi="Arial" w:cs="Arial"/>
          <w:color w:val="auto"/>
          <w:lang w:val="en-US" w:eastAsia="zh-CN"/>
        </w:rPr>
        <w:t>(</w:t>
      </w:r>
      <w:r>
        <w:rPr>
          <w:rFonts w:hint="eastAsia" w:ascii="Arial" w:hAnsi="Arial" w:cs="Arial"/>
          <w:color w:val="auto"/>
          <w:lang w:val="en-US" w:eastAsia="zh-CN"/>
        </w:rPr>
        <w:t>r</w:t>
      </w:r>
      <w:r>
        <w:rPr>
          <w:rFonts w:hint="default" w:ascii="Arial" w:hAnsi="Arial" w:cs="Arial"/>
          <w:color w:val="auto"/>
          <w:lang w:val="en-US" w:eastAsia="zh-CN"/>
        </w:rPr>
        <w:t>);</w:t>
      </w:r>
      <w:r>
        <w:rPr>
          <w:rFonts w:hint="eastAsia" w:ascii="Arial" w:hAnsi="Arial" w:cs="Arial"/>
          <w:color w:val="auto"/>
          <w:lang w:val="en-US" w:eastAsia="zh-CN"/>
        </w:rPr>
        <w:t>资金的时间价值</w:t>
      </w:r>
      <w:r>
        <w:rPr>
          <w:rFonts w:hint="default" w:ascii="Arial" w:hAnsi="Arial" w:cs="Arial"/>
          <w:color w:val="auto"/>
          <w:lang w:val="en-US" w:eastAsia="zh-CN"/>
        </w:rPr>
        <w:t>(</w:t>
      </w:r>
      <w:r>
        <w:rPr>
          <w:rFonts w:hint="eastAsia" w:ascii="Arial" w:hAnsi="Arial" w:cs="Arial"/>
          <w:color w:val="auto"/>
          <w:lang w:val="en-US" w:eastAsia="zh-CN"/>
        </w:rPr>
        <w:t>折现</w:t>
      </w:r>
      <w:r>
        <w:rPr>
          <w:rFonts w:hint="default" w:ascii="Arial" w:hAnsi="Arial" w:cs="Arial"/>
          <w:color w:val="auto"/>
          <w:lang w:val="en-US" w:eastAsia="zh-CN"/>
        </w:rPr>
        <w:t>);</w:t>
      </w:r>
      <w:r>
        <w:rPr>
          <w:rFonts w:hint="eastAsia" w:ascii="Arial" w:hAnsi="Arial" w:cs="Arial"/>
          <w:color w:val="auto"/>
          <w:lang w:val="en-US" w:eastAsia="zh-CN"/>
        </w:rPr>
        <w:t>考虑了项目计算期的全部净现金流量。缺点：</w:t>
      </w:r>
      <w:r>
        <w:rPr>
          <w:rFonts w:hint="eastAsia" w:ascii="Arial" w:hAnsi="Arial" w:cs="Arial"/>
          <w:color w:val="FF0000"/>
          <w:lang w:val="en-US" w:eastAsia="zh-CN"/>
        </w:rPr>
        <w:t>不能从动态上反映实际投资收益率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8.</w:t>
      </w:r>
      <w:r>
        <w:rPr>
          <w:rFonts w:hint="eastAsia" w:cstheme="minorBidi"/>
          <w:color w:val="FF0000"/>
          <w:kern w:val="2"/>
          <w:sz w:val="21"/>
          <w:szCs w:val="24"/>
          <w:lang w:val="en-US" w:eastAsia="zh-CN" w:bidi="ar-SA"/>
        </w:rPr>
        <w:t>到期收益率</w:t>
      </w:r>
      <w:r>
        <w:rPr>
          <w:rFonts w:hint="default" w:cstheme="minorBidi"/>
          <w:color w:val="FF0000"/>
          <w:kern w:val="2"/>
          <w:sz w:val="21"/>
          <w:szCs w:val="24"/>
          <w:lang w:val="en-US" w:eastAsia="zh-CN" w:bidi="ar-SA"/>
        </w:rPr>
        <w:t>&gt;</w:t>
      </w:r>
      <w:r>
        <w:rPr>
          <w:rFonts w:hint="eastAsia" w:cstheme="minorBidi"/>
          <w:color w:val="FF0000"/>
          <w:kern w:val="2"/>
          <w:sz w:val="21"/>
          <w:szCs w:val="24"/>
          <w:lang w:val="en-US" w:eastAsia="zh-CN" w:bidi="ar-SA"/>
        </w:rPr>
        <w:t>票面利率，折价发行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，市价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&lt;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面值，价格随到期时间临近而增加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9.（P/F，10%，4）是复利现值系数，即（1+10%）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^(-4)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10.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只要净现值</w:t>
      </w:r>
      <w:r>
        <w:rPr>
          <w:rFonts w:hint="eastAsia" w:cstheme="minorBidi"/>
          <w:color w:val="FF0000"/>
          <w:kern w:val="2"/>
          <w:sz w:val="21"/>
          <w:szCs w:val="24"/>
          <w:lang w:val="en-US" w:eastAsia="zh-CN" w:bidi="ar-SA"/>
        </w:rPr>
        <w:t>NPV小于0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的项目都</w:t>
      </w:r>
      <w:r>
        <w:rPr>
          <w:rFonts w:hint="eastAsia" w:cstheme="minorBidi"/>
          <w:color w:val="FF0000"/>
          <w:kern w:val="2"/>
          <w:sz w:val="21"/>
          <w:szCs w:val="24"/>
          <w:lang w:val="en-US" w:eastAsia="zh-CN" w:bidi="ar-SA"/>
        </w:rPr>
        <w:t>不可以选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，如果设备有</w:t>
      </w:r>
      <w:r>
        <w:rPr>
          <w:rFonts w:hint="eastAsia" w:cstheme="minorBidi"/>
          <w:color w:val="FF0000"/>
          <w:kern w:val="2"/>
          <w:sz w:val="21"/>
          <w:szCs w:val="24"/>
          <w:lang w:val="en-US" w:eastAsia="zh-CN" w:bidi="ar-SA"/>
        </w:rPr>
        <w:t>净残值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记得贴现回期初，</w:t>
      </w:r>
      <w:r>
        <w:rPr>
          <w:rFonts w:hint="eastAsia" w:cstheme="minorBidi"/>
          <w:color w:val="FF0000"/>
          <w:kern w:val="2"/>
          <w:sz w:val="21"/>
          <w:szCs w:val="24"/>
          <w:lang w:val="en-US" w:eastAsia="zh-CN" w:bidi="ar-SA"/>
        </w:rPr>
        <w:t>营运资本垫支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在初始流出扣除，在最终流回也要记得贴现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11.注意每年要求回报率不同的时候，贴现要分区间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iti SC Medium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FB5331"/>
    <w:multiLevelType w:val="singleLevel"/>
    <w:tmpl w:val="3FFB5331"/>
    <w:lvl w:ilvl="0" w:tentative="0">
      <w:start w:val="3"/>
      <w:numFmt w:val="decimal"/>
      <w:lvlText w:val="%1."/>
      <w:lvlJc w:val="left"/>
      <w:pPr>
        <w:tabs>
          <w:tab w:val="left" w:pos="312"/>
        </w:tabs>
      </w:pPr>
      <w:rPr>
        <w:rFonts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EB160AF"/>
    <w:rsid w:val="1E8B34FA"/>
    <w:rsid w:val="3F7765CC"/>
    <w:rsid w:val="7AFF95F9"/>
    <w:rsid w:val="7CFF0BCE"/>
    <w:rsid w:val="7DFFAEC6"/>
    <w:rsid w:val="7F969580"/>
    <w:rsid w:val="9EB160AF"/>
    <w:rsid w:val="AB7F8268"/>
    <w:rsid w:val="B7720576"/>
    <w:rsid w:val="CD9DB098"/>
    <w:rsid w:val="DB7B2769"/>
    <w:rsid w:val="FB3AE837"/>
    <w:rsid w:val="FDFFBEA3"/>
    <w:rsid w:val="FF17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Heiti SC Medium" w:asciiTheme="minorAscii" w:hAnsiTheme="minorAscii"/>
      <w:b/>
      <w:kern w:val="44"/>
      <w:sz w:val="30"/>
      <w:szCs w:val="2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Heiti SC Medium"/>
      <w:b/>
      <w:sz w:val="28"/>
      <w:szCs w:val="2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ind w:leftChars="200"/>
      <w:jc w:val="left"/>
      <w:outlineLvl w:val="2"/>
    </w:pPr>
    <w:rPr>
      <w:rFonts w:eastAsia="Heiti SC Medium" w:asciiTheme="minorAscii" w:hAnsiTheme="minorAscii"/>
      <w:b/>
      <w:sz w:val="24"/>
      <w:szCs w:val="2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112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2024-06-04T21:18:00Z</dcterms:created>
  <dc:creator>Bettyxujiaqi</dc:creator>
  <cp:lastModifiedBy>Bettyxujiaqi</cp:lastModifiedBy>
  <dcterms:modified xsi:type="dcterms:W3CDTF">2024-06-20T16:18:59Z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C8908561B5D61E0CB5A35E662610678C_41</vt:lpwstr>
  </property>
</Properties>
</file>