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投资环境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金融资产：实际资产的要求权，保证人们购买力的凭证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投资：货币或其他资源的当前投入，旨在获取未来收益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投机： 对大量投资风险的承担以获取相应的回报；为了风险溢价而进行风险投资，该风险溢价大到足以补偿风险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FF"/>
          <w:kern w:val="0"/>
          <w:sz w:val="16"/>
          <w:szCs w:val="16"/>
          <w:lang w:val="en-US" w:eastAsia="zh-CN" w:bidi="ar"/>
        </w:rPr>
        <w:t>投资与赌博不同之处在于：在长期，投资者会得到与所承担的风险相应的补偿；而在赌场，玩家将面临不公平的游戏赔率。</w:t>
      </w:r>
      <w:r>
        <w:rPr>
          <w:rFonts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  <w:t xml:space="preserve">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实体资产：直接参与产品生产或服务提供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金融资产： 固定收益证券或债务性证券；普通股或股权；衍生证券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风险配置：金融市场是的每一个风险都有最愿意承担爱风险的投资者来承担。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金融中介：介于证券发行人（公司）和证券最终所有人（个人投资者）之间的金融机构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资产类别与金融工具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欧洲债券</w:t>
      </w:r>
      <w:r>
        <w:rPr>
          <w:rFonts w:hint="eastAsia"/>
          <w:sz w:val="21"/>
          <w:szCs w:val="24"/>
          <w:lang w:val="en-US" w:eastAsia="zh-CN"/>
        </w:rPr>
        <w:t>：</w:t>
      </w:r>
      <w:r>
        <w:rPr>
          <w:rFonts w:hint="default"/>
          <w:sz w:val="21"/>
          <w:szCs w:val="24"/>
          <w:lang w:val="en-US" w:eastAsia="zh-CN"/>
        </w:rPr>
        <w:t>指在欧洲债券市场发行和交易的债券，本质而言是指离岸发行和交易的债券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买空/融资交易：投资者向证券公司借入资金，购买比自己投入的资本量更多的证券，预测股票价格上升时用此策略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卖空/融券交易：预测到股票价格要下跌，投资者缴纳一部分保证金向经纪商</w:t>
      </w:r>
      <w:bookmarkStart w:id="0" w:name="_GoBack"/>
      <w:bookmarkEnd w:id="0"/>
      <w:r>
        <w:rPr>
          <w:rFonts w:hint="eastAsia"/>
          <w:sz w:val="21"/>
          <w:szCs w:val="24"/>
          <w:lang w:val="en-US" w:eastAsia="zh-CN"/>
        </w:rPr>
        <w:t>借入证券来出售，等价格下跌再买回证券还给出借方的行为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保险原理：通过在许多独立的风险来源之间进行扩散来降低风险。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对冲资产：在资产组合中与其他资产具有负相关性的资产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投资机会集：从两资产中可能构造的所有组合的期望收益率与标准差的关系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最优风险资产组合：资本配置线和投资组合机会集的切点，夏普比率/CAL斜率最大化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1570990</wp:posOffset>
            </wp:positionH>
            <wp:positionV relativeFrom="paragraph">
              <wp:posOffset>228600</wp:posOffset>
            </wp:positionV>
            <wp:extent cx="867410" cy="457835"/>
            <wp:effectExtent l="0" t="0" r="0" b="0"/>
            <wp:wrapNone/>
            <wp:docPr id="1" name="图片 1" descr="截屏2024-06-06 22.47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06-06 22.47.3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6F6F6">
                            <a:alpha val="100000"/>
                          </a:srgbClr>
                        </a:clrFrom>
                        <a:clrTo>
                          <a:srgbClr val="F6F6F6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4"/>
          <w:lang w:val="en-US" w:eastAsia="zh-CN"/>
        </w:rPr>
        <w:t>最优完全组合：效用最大化的可行组合，资本配置线与无差异曲线的切点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最小方差：给定组合期望收益的情况下最小的方差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有效边界：全局最小方差组合以上的最小方差边界；提供最好的风险-回报组合（核心思想：给定风险水平下，期望收益最大化；给定期望收益下，风险最小化）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非正态分布的回报率要求采用风险估值(VaR)或期望</w:t>
      </w:r>
      <w:r>
        <w:rPr>
          <w:rFonts w:hint="eastAsia"/>
          <w:sz w:val="21"/>
          <w:szCs w:val="24"/>
          <w:lang w:val="en-US" w:eastAsia="zh-CN"/>
        </w:rPr>
        <w:t>尾部</w:t>
      </w:r>
      <w:r>
        <w:rPr>
          <w:rFonts w:hint="default"/>
          <w:sz w:val="21"/>
          <w:szCs w:val="24"/>
          <w:lang w:val="en-US" w:eastAsia="zh-CN"/>
        </w:rPr>
        <w:t>损失(</w:t>
      </w:r>
      <w:r>
        <w:rPr>
          <w:rFonts w:hint="eastAsia"/>
          <w:sz w:val="21"/>
          <w:szCs w:val="24"/>
          <w:lang w:val="en-US" w:eastAsia="zh-CN"/>
        </w:rPr>
        <w:t>ES</w:t>
      </w:r>
      <w:r>
        <w:rPr>
          <w:rFonts w:hint="default"/>
          <w:sz w:val="21"/>
          <w:szCs w:val="24"/>
          <w:lang w:val="en-US" w:eastAsia="zh-CN"/>
        </w:rPr>
        <w:t>)</w:t>
      </w:r>
      <w:r>
        <w:rPr>
          <w:rFonts w:hint="eastAsia"/>
          <w:sz w:val="21"/>
          <w:szCs w:val="24"/>
          <w:lang w:val="en-US" w:eastAsia="zh-CN"/>
        </w:rPr>
        <w:t>：当投资组合的损失超过 VaR 损失时所遭受的期望损失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风险分担/汇聚：将互不相关的风险项目加入投资组合。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风险共享：投资者卖出一部分风险资产来限制总风险，让更多人来分担风险（保持投资总金额不变）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指数模型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证券分析：寻找非零</w:t>
      </w:r>
      <w:r>
        <w:rPr>
          <w:rFonts w:hint="default"/>
          <w:sz w:val="21"/>
          <w:szCs w:val="24"/>
          <w:lang w:val="en-US" w:eastAsia="zh-CN"/>
        </w:rPr>
        <w:t>α</w:t>
      </w:r>
      <w:r>
        <w:rPr>
          <w:rFonts w:hint="eastAsia"/>
          <w:sz w:val="21"/>
          <w:szCs w:val="24"/>
          <w:lang w:val="en-US" w:eastAsia="zh-CN"/>
        </w:rPr>
        <w:t>值的证券并持有不同头寸（大于0做多；小于0做空）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β系数：资产i的回报率对市场回报率的敏感性【周期性证券的β大于1；而防御性证券的β小于1】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积极组合：由n个积极证券和1个消极组合构成的组合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1064260</wp:posOffset>
            </wp:positionH>
            <wp:positionV relativeFrom="paragraph">
              <wp:posOffset>213995</wp:posOffset>
            </wp:positionV>
            <wp:extent cx="469265" cy="361315"/>
            <wp:effectExtent l="0" t="0" r="13335" b="19685"/>
            <wp:wrapNone/>
            <wp:docPr id="2" name="图片 2" descr="截屏2024-06-08 23.52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6-08 23.52.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26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4"/>
          <w:lang w:val="en-US" w:eastAsia="zh-CN"/>
        </w:rPr>
        <w:t>信息比率：经过标准差调整后的α，或单位特殊风险的α</w:t>
      </w:r>
    </w:p>
    <w:p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资本资产定价模型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市场组合M：个人风险资产组合P的加总，是可投资领域中所有资产的价值加权投资组合，也是CML与有效边界的切点（是一个有效资产组合）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共同基金定理：投资与市场组合的被动策略是近似有效的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零</w:t>
      </w:r>
      <w:r>
        <w:rPr>
          <w:rFonts w:hint="default" w:ascii="Arial" w:hAnsi="Arial" w:cs="Arial"/>
          <w:sz w:val="21"/>
          <w:szCs w:val="24"/>
          <w:lang w:val="en-US" w:eastAsia="zh-CN"/>
        </w:rPr>
        <w:t>β</w:t>
      </w:r>
      <w:r>
        <w:rPr>
          <w:rFonts w:hint="eastAsia" w:ascii="Arial" w:hAnsi="Arial" w:cs="Arial"/>
          <w:sz w:val="21"/>
          <w:szCs w:val="24"/>
          <w:lang w:val="en-US" w:eastAsia="zh-CN"/>
        </w:rPr>
        <w:t>模型：任何是两个在有效边界上组合所构成的投资组合，也处于有效边界上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0"/>
          <w:szCs w:val="22"/>
          <w:lang w:val="en-US" w:eastAsia="zh-CN"/>
        </w:rPr>
      </w:pPr>
      <w:r>
        <w:rPr>
          <w:rFonts w:hint="eastAsia" w:ascii="Arial" w:hAnsi="Arial" w:cs="Arial"/>
          <w:color w:val="0000FF"/>
          <w:sz w:val="16"/>
          <w:szCs w:val="20"/>
          <w:lang w:val="en-US" w:eastAsia="zh-CN"/>
        </w:rPr>
        <w:t>（</w:t>
      </w:r>
      <w:r>
        <w:rPr>
          <w:rFonts w:hint="default" w:ascii="Arial" w:hAnsi="Arial" w:cs="Arial"/>
          <w:color w:val="0000FF"/>
          <w:sz w:val="16"/>
          <w:szCs w:val="20"/>
          <w:lang w:val="en-US" w:eastAsia="zh-CN"/>
        </w:rPr>
        <w:t>任何资产的预期收益都可以表示为任意两个有效边界投资组合P和Q的预期收益的精确线性函数</w:t>
      </w:r>
      <w:r>
        <w:rPr>
          <w:rFonts w:hint="eastAsia" w:ascii="Arial" w:hAnsi="Arial" w:cs="Arial"/>
          <w:color w:val="0000FF"/>
          <w:sz w:val="16"/>
          <w:szCs w:val="20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非系统性风险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投资组合中单只证券的特有风险，通过持有有效的分散化投资组合能够将风险分散。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第10章 APT&amp;风险收益多因子模型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套利：利用错误定价的证券获取</w:t>
      </w:r>
      <w:r>
        <w:rPr>
          <w:rFonts w:hint="eastAsia"/>
          <w:b/>
          <w:bCs/>
          <w:sz w:val="21"/>
          <w:szCs w:val="24"/>
          <w:lang w:val="en-US" w:eastAsia="zh-CN"/>
        </w:rPr>
        <w:t>无风险</w:t>
      </w:r>
      <w:r>
        <w:rPr>
          <w:rFonts w:hint="eastAsia"/>
          <w:sz w:val="21"/>
          <w:szCs w:val="24"/>
          <w:lang w:val="en-US" w:eastAsia="zh-CN"/>
        </w:rPr>
        <w:t>利润的行为；净投资为0并获得无风险利润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【两个资产同时买卖，方向相反】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风险套利：对同一资产进行低买高卖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【需要支付成本，有风险】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一价定律：两个或多个资产在所有经济方面都是相等的，那么它们将具有相同的市场价格（期望回报率）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970280</wp:posOffset>
            </wp:positionH>
            <wp:positionV relativeFrom="paragraph">
              <wp:posOffset>222885</wp:posOffset>
            </wp:positionV>
            <wp:extent cx="1129665" cy="205105"/>
            <wp:effectExtent l="0" t="0" r="13335" b="23495"/>
            <wp:wrapNone/>
            <wp:docPr id="3" name="图片 3" descr="截屏2024-06-11 21.47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6-11 21.47.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966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4"/>
          <w:lang w:val="en-US" w:eastAsia="zh-CN"/>
        </w:rPr>
        <w:t>充分分散化的投资组合：非系统方差可以忽略不计的组合。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APT套利定价理论：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基本假设</w:t>
      </w:r>
    </w:p>
    <w:p>
      <w:pPr>
        <w:widowControl w:val="0"/>
        <w:numPr>
          <w:ilvl w:val="0"/>
          <w:numId w:val="3"/>
        </w:numPr>
        <w:spacing w:line="240" w:lineRule="auto"/>
        <w:ind w:left="-420" w:leftChars="0" w:firstLine="420" w:firstLineChars="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因子模型</w:t>
      </w:r>
    </w:p>
    <w:p>
      <w:pPr>
        <w:widowControl w:val="0"/>
        <w:numPr>
          <w:ilvl w:val="0"/>
          <w:numId w:val="3"/>
        </w:numPr>
        <w:spacing w:line="240" w:lineRule="auto"/>
        <w:ind w:left="-420" w:leftChars="0" w:firstLine="420" w:firstLineChars="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足够</w:t>
      </w:r>
      <w:r>
        <w:rPr>
          <w:rFonts w:hint="eastAsia"/>
          <w:sz w:val="21"/>
          <w:szCs w:val="24"/>
          <w:lang w:val="en-US" w:eastAsia="zh-CN"/>
        </w:rPr>
        <w:t>多</w:t>
      </w:r>
      <w:r>
        <w:rPr>
          <w:rFonts w:hint="default"/>
          <w:sz w:val="21"/>
          <w:szCs w:val="24"/>
          <w:lang w:val="en-US" w:eastAsia="zh-CN"/>
        </w:rPr>
        <w:t>证券形成多样化的投资组合</w:t>
      </w:r>
    </w:p>
    <w:p>
      <w:pPr>
        <w:widowControl w:val="0"/>
        <w:numPr>
          <w:ilvl w:val="0"/>
          <w:numId w:val="3"/>
        </w:numPr>
        <w:spacing w:line="240" w:lineRule="auto"/>
        <w:ind w:left="-420" w:leftChars="0" w:firstLine="420" w:firstLineChars="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无套利条件</w:t>
      </w:r>
    </w:p>
    <w:p>
      <w:pPr>
        <w:widowControl w:val="0"/>
        <w:numPr>
          <w:ilvl w:val="0"/>
          <w:numId w:val="4"/>
        </w:numPr>
        <w:spacing w:line="240" w:lineRule="auto"/>
        <w:ind w:left="420" w:leftChars="0" w:hanging="420" w:firstLineChars="0"/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推论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单因素模型下，充分分散投资组合</w:t>
      </w:r>
      <w:r>
        <w:rPr>
          <w:rFonts w:hint="default" w:ascii="Arial" w:hAnsi="Arial" w:cs="Arial"/>
          <w:sz w:val="21"/>
          <w:szCs w:val="24"/>
          <w:lang w:val="en-US" w:eastAsia="zh-CN"/>
        </w:rPr>
        <w:t>β</w:t>
      </w:r>
      <w:r>
        <w:rPr>
          <w:rFonts w:hint="eastAsia" w:ascii="Arial" w:hAnsi="Arial" w:cs="Arial"/>
          <w:sz w:val="21"/>
          <w:szCs w:val="24"/>
          <w:lang w:val="en-US" w:eastAsia="zh-CN"/>
        </w:rPr>
        <w:t>同，则期望收益同，风险溢价与</w:t>
      </w:r>
      <w:r>
        <w:rPr>
          <w:rFonts w:hint="default" w:ascii="Arial" w:hAnsi="Arial" w:cs="Arial"/>
          <w:sz w:val="21"/>
          <w:szCs w:val="24"/>
          <w:lang w:val="en-US" w:eastAsia="zh-CN"/>
        </w:rPr>
        <w:t>β</w:t>
      </w:r>
      <w:r>
        <w:rPr>
          <w:rFonts w:hint="eastAsia" w:ascii="Arial" w:hAnsi="Arial" w:cs="Arial"/>
          <w:sz w:val="21"/>
          <w:szCs w:val="24"/>
          <w:lang w:val="en-US" w:eastAsia="zh-CN"/>
        </w:rPr>
        <w:t>成比例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跟踪指数/追踪组合/纯因子组合：</w:t>
      </w:r>
      <w:r>
        <w:rPr>
          <w:rFonts w:hint="default" w:ascii="Arial" w:hAnsi="Arial" w:cs="Arial"/>
          <w:sz w:val="21"/>
          <w:szCs w:val="24"/>
          <w:lang w:val="en-US" w:eastAsia="zh-CN"/>
        </w:rPr>
        <w:t>每一个因素组合都仅跟踪一个特定因素或特定的宏观经济风险来源，而与其他因子无关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1"/>
          <w:szCs w:val="24"/>
          <w:lang w:val="en-US" w:eastAsia="zh-CN"/>
        </w:rPr>
        <w:t>多维SML预测：</w:t>
      </w:r>
      <w:r>
        <w:rPr>
          <w:rFonts w:hint="default" w:ascii="Arial" w:hAnsi="Arial" w:cs="Arial"/>
          <w:sz w:val="21"/>
          <w:szCs w:val="24"/>
          <w:lang w:val="en-US" w:eastAsia="zh-CN"/>
        </w:rPr>
        <w:t>每个风险来源对证券的风险溢价的贡献，将等于因素β乘以跟踪该风险来源的因素组合的风险溢价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  <w:r>
        <w:rPr>
          <w:rFonts w:hint="default" w:ascii="Arial" w:hAnsi="Arial" w:cs="Arial"/>
          <w:sz w:val="21"/>
          <w:szCs w:val="24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85725</wp:posOffset>
            </wp:positionV>
            <wp:extent cx="2576830" cy="372745"/>
            <wp:effectExtent l="0" t="0" r="13970" b="8255"/>
            <wp:wrapNone/>
            <wp:docPr id="4" name="图片 4" descr="截屏2024-06-11 22.17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06-11 22.17.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宏观因素可能引起主要部门投资者的期望收益的变化，进而影响公司的资本成本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color w:val="000000"/>
          <w:kern w:val="0"/>
          <w:sz w:val="21"/>
          <w:szCs w:val="21"/>
          <w:highlight w:val="cyan"/>
          <w:lang w:val="en-US" w:eastAsia="zh-CN" w:bidi="ar"/>
        </w:rPr>
        <w:t>价格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影响的是公司的收益率而非公司的风险及资本成本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APT对寻找价格风险来源并未作出说明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ind w:left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第11章 有效市场假说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EMH：股价已经反应所有可获得信息的观点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成立条件</w:t>
      </w:r>
    </w:p>
    <w:p>
      <w:pPr>
        <w:widowControl w:val="0"/>
        <w:numPr>
          <w:ilvl w:val="0"/>
          <w:numId w:val="5"/>
        </w:numPr>
        <w:spacing w:line="240" w:lineRule="auto"/>
        <w:ind w:left="420" w:leftChars="0" w:hanging="420" w:firstLineChars="0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  <w:r>
        <w:rPr>
          <w:rFonts w:hint="default" w:ascii="Arial" w:hAnsi="Arial" w:cs="Arial"/>
          <w:sz w:val="21"/>
          <w:szCs w:val="24"/>
          <w:lang w:val="en-US" w:eastAsia="zh-CN"/>
        </w:rPr>
        <w:t>股票价格完全准确地反映了公开信息</w:t>
      </w:r>
    </w:p>
    <w:p>
      <w:pPr>
        <w:widowControl w:val="0"/>
        <w:numPr>
          <w:ilvl w:val="0"/>
          <w:numId w:val="5"/>
        </w:numPr>
        <w:spacing w:line="240" w:lineRule="auto"/>
        <w:ind w:left="420" w:leftChars="0" w:hanging="420" w:firstLineChars="0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  <w:r>
        <w:rPr>
          <w:rFonts w:hint="default" w:ascii="Arial" w:hAnsi="Arial" w:cs="Arial"/>
          <w:sz w:val="21"/>
          <w:szCs w:val="24"/>
          <w:lang w:val="en-US" w:eastAsia="zh-CN"/>
        </w:rPr>
        <w:t>一旦获得信息，市场参与者就进行分析</w:t>
      </w:r>
    </w:p>
    <w:p>
      <w:pPr>
        <w:widowControl w:val="0"/>
        <w:numPr>
          <w:ilvl w:val="0"/>
          <w:numId w:val="5"/>
        </w:numPr>
        <w:spacing w:line="240" w:lineRule="auto"/>
        <w:ind w:left="420" w:leftChars="0" w:hanging="420" w:firstLineChars="0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  <w:r>
        <w:rPr>
          <w:rFonts w:hint="default" w:ascii="Arial" w:hAnsi="Arial" w:cs="Arial"/>
          <w:sz w:val="21"/>
          <w:szCs w:val="24"/>
          <w:lang w:val="en-US" w:eastAsia="zh-CN"/>
        </w:rPr>
        <w:t>竞争确保价格反映</w:t>
      </w:r>
      <w:r>
        <w:rPr>
          <w:rFonts w:hint="eastAsia" w:ascii="Arial" w:hAnsi="Arial" w:cs="Arial"/>
          <w:sz w:val="21"/>
          <w:szCs w:val="24"/>
          <w:lang w:val="en-US" w:eastAsia="zh-CN"/>
        </w:rPr>
        <w:t>已知</w:t>
      </w:r>
      <w:r>
        <w:rPr>
          <w:rFonts w:hint="default" w:ascii="Arial" w:hAnsi="Arial" w:cs="Arial"/>
          <w:sz w:val="21"/>
          <w:szCs w:val="24"/>
          <w:lang w:val="en-US" w:eastAsia="zh-CN"/>
        </w:rPr>
        <w:t>信息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5" w:type="dxa"/>
            <w:shd w:val="clear" w:color="auto" w:fill="DBE3F4" w:themeFill="accent1" w:themeFillTint="32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Arial" w:hAnsi="Arial" w:cs="Arial"/>
                <w:sz w:val="16"/>
                <w:szCs w:val="2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16"/>
                <w:szCs w:val="20"/>
                <w:highlight w:val="none"/>
                <w:vertAlign w:val="baseline"/>
                <w:lang w:val="en-US" w:eastAsia="zh-CN"/>
              </w:rPr>
              <w:t>程度</w:t>
            </w:r>
          </w:p>
        </w:tc>
        <w:tc>
          <w:tcPr>
            <w:tcW w:w="1385" w:type="dxa"/>
            <w:shd w:val="clear" w:color="auto" w:fill="DBE3F4" w:themeFill="accent1" w:themeFillTint="32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Arial" w:hAnsi="Arial" w:cs="Arial"/>
                <w:sz w:val="16"/>
                <w:szCs w:val="2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16"/>
                <w:szCs w:val="20"/>
                <w:highlight w:val="none"/>
                <w:vertAlign w:val="baseline"/>
                <w:lang w:val="en-US" w:eastAsia="zh-CN"/>
              </w:rPr>
              <w:t>所有可获得信息</w:t>
            </w:r>
          </w:p>
        </w:tc>
        <w:tc>
          <w:tcPr>
            <w:tcW w:w="1386" w:type="dxa"/>
            <w:shd w:val="clear" w:color="auto" w:fill="DBE3F4" w:themeFill="accent1" w:themeFillTint="32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Arial" w:hAnsi="Arial" w:cs="Arial"/>
                <w:sz w:val="16"/>
                <w:szCs w:val="2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16"/>
                <w:szCs w:val="20"/>
                <w:highlight w:val="none"/>
                <w:vertAlign w:val="baseline"/>
                <w:lang w:val="en-US" w:eastAsia="zh-CN"/>
              </w:rPr>
              <w:t>无效手段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5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lang w:val="en-US" w:eastAsia="zh-CN"/>
              </w:rPr>
              <w:t>弱势有效</w:t>
            </w:r>
          </w:p>
        </w:tc>
        <w:tc>
          <w:tcPr>
            <w:tcW w:w="1385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="Arial" w:hAnsi="Arial" w:cs="Arial"/>
                <w:sz w:val="21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lang w:val="en-US" w:eastAsia="zh-CN"/>
              </w:rPr>
              <w:t>历史股价、</w:t>
            </w:r>
          </w:p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="Arial" w:hAnsi="Arial" w:cs="Arial"/>
                <w:sz w:val="21"/>
                <w:szCs w:val="24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lang w:val="en-US" w:eastAsia="zh-CN"/>
              </w:rPr>
              <w:t>交易量、</w:t>
            </w:r>
          </w:p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lang w:val="en-US" w:eastAsia="zh-CN"/>
              </w:rPr>
              <w:t>空头仓位</w:t>
            </w:r>
          </w:p>
        </w:tc>
        <w:tc>
          <w:tcPr>
            <w:tcW w:w="1386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  <w:t>技术分析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5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  <w:t>半强势有效</w:t>
            </w:r>
          </w:p>
        </w:tc>
        <w:tc>
          <w:tcPr>
            <w:tcW w:w="1385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  <w:t>公司前景</w:t>
            </w:r>
          </w:p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="Arial" w:hAnsi="Arial" w:cs="Arial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16"/>
                <w:szCs w:val="20"/>
                <w:vertAlign w:val="baseline"/>
                <w:lang w:val="en-US" w:eastAsia="zh-CN"/>
              </w:rPr>
              <w:t>·过去价格信息</w:t>
            </w:r>
          </w:p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Arial" w:hAnsi="Arial" w:cs="Arial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16"/>
                <w:szCs w:val="20"/>
                <w:vertAlign w:val="baseline"/>
                <w:lang w:val="en-US" w:eastAsia="zh-CN"/>
              </w:rPr>
              <w:t>·公司基本信息</w:t>
            </w:r>
          </w:p>
        </w:tc>
        <w:tc>
          <w:tcPr>
            <w:tcW w:w="1386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  <w:t>技术分析</w:t>
            </w:r>
          </w:p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  <w:t>基本面分析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5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  <w:t>强势有效</w:t>
            </w:r>
          </w:p>
        </w:tc>
        <w:tc>
          <w:tcPr>
            <w:tcW w:w="1385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  <w:t>所有信息</w:t>
            </w:r>
          </w:p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bCs/>
                <w:i/>
                <w:iCs/>
                <w:sz w:val="21"/>
                <w:szCs w:val="24"/>
                <w:vertAlign w:val="baseline"/>
                <w:lang w:val="en-US" w:eastAsia="zh-CN"/>
              </w:rPr>
              <w:t>含内幕信息</w:t>
            </w:r>
          </w:p>
        </w:tc>
        <w:tc>
          <w:tcPr>
            <w:tcW w:w="1386" w:type="dxa"/>
          </w:tcPr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  <w:t>技术分析</w:t>
            </w:r>
          </w:p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  <w:t>基本面分析</w:t>
            </w:r>
          </w:p>
          <w:p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Arial" w:hAnsi="Arial" w:cs="Arial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4"/>
                <w:vertAlign w:val="baseline"/>
                <w:lang w:val="en-US" w:eastAsia="zh-CN"/>
              </w:rPr>
              <w:t>内幕交易</w:t>
            </w:r>
          </w:p>
        </w:tc>
      </w:tr>
    </w:tbl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信息悖论：都相信EMH便不会进行证券分析；信息化投资难以与经营成果相关联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技术分析：寻找股价的起伏周期和可预测模式，用价格和数量信息预测未来价格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基本面分析：利用公司的盈利和股息前景、未来利率的预期以及公司风险评估来决定合理的股票价格；利用经济和会计信息预测股票价格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事件研究：可用于评估某一事件对公司股价的影响的实证财务研究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17780</wp:posOffset>
            </wp:positionH>
            <wp:positionV relativeFrom="paragraph">
              <wp:posOffset>415290</wp:posOffset>
            </wp:positionV>
            <wp:extent cx="1227455" cy="210820"/>
            <wp:effectExtent l="0" t="0" r="17145" b="17780"/>
            <wp:wrapNone/>
            <wp:docPr id="5" name="图片 5" descr="截屏2024-06-12 09.26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6-12 09.26.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Arial" w:hAnsi="Arial" w:cs="Arial"/>
          <w:sz w:val="21"/>
          <w:szCs w:val="24"/>
          <w:lang w:val="en-US" w:eastAsia="zh-CN"/>
        </w:rPr>
        <w:t>异常收益AR：股票实际收益与没有事件时股票收益（基准收益）之间的差额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累积异常收益CAR：事件前后若干日期的所有异常收益AR进行累计加总。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（解决存在信息泄露的问题）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16510</wp:posOffset>
            </wp:positionV>
            <wp:extent cx="1317625" cy="470535"/>
            <wp:effectExtent l="0" t="0" r="3175" b="12065"/>
            <wp:wrapNone/>
            <wp:docPr id="6" name="图片 6" descr="截屏2024-06-12 09.27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06-12 09.27.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762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规模问题：只有大基金的经理可以获得足够的利润，使得在寻找微小错误定价方面的工作（即证券分析）能够体现出价值。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选择偏见问题：只有那些发现其投资技巧无法获得超额回报的投资者，才会公布其投资技巧，成功的会被保密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幸运事件问题：出色的投资业绩可能是运气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sz w:val="21"/>
          <w:szCs w:val="24"/>
          <w:lang w:val="en-US" w:eastAsia="zh-CN"/>
        </w:rPr>
      </w:pPr>
      <w:r>
        <w:rPr>
          <w:rFonts w:hint="eastAsia" w:ascii="Arial" w:hAnsi="Arial" w:cs="Arial"/>
          <w:sz w:val="21"/>
          <w:szCs w:val="24"/>
          <w:lang w:val="en-US" w:eastAsia="zh-CN"/>
        </w:rPr>
        <w:t>（支持EMH）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动量效应+：股票好的or坏的近期业绩会随着时间持续（中短期）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b/>
          <w:bCs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反向效应-：长期上，回报率存在负相关性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b/>
          <w:bCs/>
          <w:sz w:val="21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市场异象：简单统计量能预测超额收益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（违背半强式）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市盈率效应：市盈率越低，股票收益率越高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小公司效应：企业规模越小，收益率越高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·</w:t>
      </w:r>
      <w:r>
        <w:rPr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被忽略公司效应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——信息越被忽视，收益越高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相对较小的公司有较大的不确定性。因此在很少交易的小公司股票中的正的资本资产模型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α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并不违背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EMH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，因为这些高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α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值实际上是风险溢价，并不能证明市场的低效率。 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·流动性效应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——流动性越低，收益越高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账面-市值比效应：账市率越高，收益越高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——违背半强式EMH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盈余漂移：盈余意外越大，CAR越高</w:t>
      </w:r>
    </w:p>
    <w:p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Arial" w:hAnsi="Arial" w:cs="Arial"/>
          <w:b/>
          <w:bCs/>
          <w:sz w:val="21"/>
          <w:szCs w:val="24"/>
          <w:lang w:val="en-US" w:eastAsia="zh-CN"/>
        </w:rPr>
      </w:pPr>
      <w:r>
        <w:rPr>
          <w:rFonts w:hint="eastAsia" w:ascii="Arial" w:hAnsi="Arial" w:cs="Arial"/>
          <w:b/>
          <w:bCs/>
          <w:sz w:val="21"/>
          <w:szCs w:val="24"/>
          <w:lang w:val="en-US" w:eastAsia="zh-CN"/>
        </w:rPr>
        <w:t>（盈余意外=实际盈余-预期盈余）</w:t>
      </w:r>
    </w:p>
    <w:sectPr>
      <w:headerReference r:id="rId3" w:type="default"/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single" w:color="auto" w:sz="4" w:space="1"/>
      </w:pBdr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名词解释 许嘉琪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E92A9"/>
    <w:multiLevelType w:val="singleLevel"/>
    <w:tmpl w:val="DFFE92A9"/>
    <w:lvl w:ilvl="0" w:tentative="0">
      <w:start w:val="1"/>
      <w:numFmt w:val="decimal"/>
      <w:suff w:val="space"/>
      <w:lvlText w:val="第%1章"/>
      <w:lvlJc w:val="left"/>
    </w:lvl>
  </w:abstractNum>
  <w:abstractNum w:abstractNumId="1">
    <w:nsid w:val="EFFC6547"/>
    <w:multiLevelType w:val="singleLevel"/>
    <w:tmpl w:val="EFFC654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78BAC4C"/>
    <w:multiLevelType w:val="singleLevel"/>
    <w:tmpl w:val="F78BAC4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678F5C0"/>
    <w:multiLevelType w:val="singleLevel"/>
    <w:tmpl w:val="7678F5C0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4">
    <w:nsid w:val="7FE19026"/>
    <w:multiLevelType w:val="singleLevel"/>
    <w:tmpl w:val="7FE19026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5BDEC0"/>
    <w:rsid w:val="125BDEC0"/>
    <w:rsid w:val="1E8B34FA"/>
    <w:rsid w:val="1FFD51E7"/>
    <w:rsid w:val="26E77167"/>
    <w:rsid w:val="2FF6B2E6"/>
    <w:rsid w:val="3F5B9609"/>
    <w:rsid w:val="56FBD7EE"/>
    <w:rsid w:val="6CEF3F61"/>
    <w:rsid w:val="6F3F405A"/>
    <w:rsid w:val="745EBC64"/>
    <w:rsid w:val="74DD21D2"/>
    <w:rsid w:val="75FF4912"/>
    <w:rsid w:val="78FD44E8"/>
    <w:rsid w:val="7BDFAD8E"/>
    <w:rsid w:val="7CDB67E3"/>
    <w:rsid w:val="7D6562E2"/>
    <w:rsid w:val="7D7F76C4"/>
    <w:rsid w:val="7DCFF668"/>
    <w:rsid w:val="7DED97C2"/>
    <w:rsid w:val="7EDF8E73"/>
    <w:rsid w:val="7EF7F349"/>
    <w:rsid w:val="7F6F4E2C"/>
    <w:rsid w:val="7F969580"/>
    <w:rsid w:val="7FF54BC0"/>
    <w:rsid w:val="7FFC8E9A"/>
    <w:rsid w:val="7FFED892"/>
    <w:rsid w:val="8A7DA4E8"/>
    <w:rsid w:val="9FBFA043"/>
    <w:rsid w:val="A7DE1111"/>
    <w:rsid w:val="AF4556CD"/>
    <w:rsid w:val="AFFF396F"/>
    <w:rsid w:val="AFFF5E5B"/>
    <w:rsid w:val="BD5DD48D"/>
    <w:rsid w:val="C717990B"/>
    <w:rsid w:val="CF8630A9"/>
    <w:rsid w:val="DEFAA51C"/>
    <w:rsid w:val="DFFF39C9"/>
    <w:rsid w:val="E7ED9AEE"/>
    <w:rsid w:val="EDDFADE1"/>
    <w:rsid w:val="F7B70514"/>
    <w:rsid w:val="F7FD096D"/>
    <w:rsid w:val="FB3AE837"/>
    <w:rsid w:val="FB67AA80"/>
    <w:rsid w:val="FE2FB983"/>
    <w:rsid w:val="FE76B5A2"/>
    <w:rsid w:val="FEAFEC8F"/>
    <w:rsid w:val="FF173EC4"/>
    <w:rsid w:val="FF7FF453"/>
    <w:rsid w:val="FFBE0932"/>
    <w:rsid w:val="FFD5D1DC"/>
    <w:rsid w:val="FFDD7C55"/>
    <w:rsid w:val="FFEF3337"/>
    <w:rsid w:val="FFF36307"/>
    <w:rsid w:val="FFFA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Heiti SC Medium" w:asciiTheme="minorAscii" w:hAnsiTheme="minorAscii"/>
      <w:b/>
      <w:kern w:val="44"/>
      <w:sz w:val="30"/>
      <w:szCs w:val="2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Heiti SC Medium"/>
      <w:b/>
      <w:sz w:val="28"/>
      <w:szCs w:val="2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leftChars="200"/>
      <w:jc w:val="left"/>
      <w:outlineLvl w:val="2"/>
    </w:pPr>
    <w:rPr>
      <w:rFonts w:eastAsia="Heiti SC Medium" w:asciiTheme="minorAscii" w:hAnsiTheme="minorAscii"/>
      <w:b/>
      <w:sz w:val="24"/>
      <w:szCs w:val="2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2024-05-18T09:36:00Z</dcterms:created>
  <dc:creator>Bettyxujiaqi</dc:creator>
  <cp:lastModifiedBy>Bettyxujiaqi</cp:lastModifiedBy>
  <dcterms:modified xsi:type="dcterms:W3CDTF">2024-06-19T22:46:43Z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DA3375F433617A95A8114466E63DC537_41</vt:lpwstr>
  </property>
</Properties>
</file>