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4"/>
          <w:szCs w:val="32"/>
          <w:lang w:val="en-US" w:eastAsia="zh-CN"/>
        </w:rPr>
      </w:pPr>
      <w:r>
        <w:rPr>
          <w:rFonts w:hint="eastAsia"/>
          <w:b/>
          <w:bCs/>
          <w:sz w:val="24"/>
          <w:szCs w:val="32"/>
          <w:lang w:val="en-US" w:eastAsia="zh-CN"/>
        </w:rPr>
        <w:t>国际金融复习要点</w:t>
      </w:r>
    </w:p>
    <w:p>
      <w:pPr>
        <w:numPr>
          <w:ilvl w:val="0"/>
          <w:numId w:val="1"/>
        </w:numPr>
        <w:rPr>
          <w:rFonts w:hint="eastAsia"/>
          <w:b/>
          <w:bCs/>
          <w:i/>
          <w:iCs/>
          <w:sz w:val="22"/>
          <w:szCs w:val="28"/>
          <w:lang w:val="en-US" w:eastAsia="zh-CN"/>
        </w:rPr>
      </w:pPr>
      <w:r>
        <w:rPr>
          <w:rFonts w:hint="eastAsia"/>
          <w:b/>
          <w:bCs/>
          <w:i/>
          <w:iCs/>
          <w:sz w:val="22"/>
          <w:szCs w:val="28"/>
          <w:lang w:val="en-US" w:eastAsia="zh-CN"/>
        </w:rPr>
        <w:t>第三节 国际收支平衡表</w:t>
      </w:r>
    </w:p>
    <w:p>
      <w:pPr>
        <w:widowControl w:val="0"/>
        <w:numPr>
          <w:ilvl w:val="0"/>
          <w:numId w:val="0"/>
        </w:numPr>
        <w:jc w:val="both"/>
        <w:rPr>
          <w:rFonts w:hint="default"/>
          <w:lang w:val="en-US" w:eastAsia="zh-CN"/>
        </w:rPr>
      </w:pPr>
      <w:r>
        <w:rPr>
          <w:rFonts w:hint="eastAsia"/>
          <w:lang w:val="en-US" w:eastAsia="zh-CN"/>
        </w:rPr>
        <w:t>国际收支——流量概念（因）</w:t>
      </w:r>
    </w:p>
    <w:p>
      <w:pPr>
        <w:widowControl w:val="0"/>
        <w:numPr>
          <w:ilvl w:val="0"/>
          <w:numId w:val="0"/>
        </w:numPr>
        <w:jc w:val="both"/>
        <w:rPr>
          <w:rFonts w:hint="eastAsia"/>
          <w:lang w:val="en-US" w:eastAsia="zh-CN"/>
        </w:rPr>
      </w:pPr>
      <w:r>
        <w:rPr>
          <w:rFonts w:hint="eastAsia"/>
          <w:lang w:val="en-US" w:eastAsia="zh-CN"/>
        </w:rPr>
        <w:t>国际借贷——存量概念（果）</w:t>
      </w:r>
    </w:p>
    <w:p>
      <w:pPr>
        <w:widowControl w:val="0"/>
        <w:numPr>
          <w:ilvl w:val="0"/>
          <w:numId w:val="0"/>
        </w:numPr>
        <w:jc w:val="both"/>
        <w:rPr>
          <w:rFonts w:hint="eastAsia"/>
          <w:lang w:val="en-US" w:eastAsia="zh-CN"/>
        </w:rPr>
      </w:pPr>
      <w:r>
        <w:rPr>
          <w:rFonts w:hint="eastAsia"/>
          <w:b/>
          <w:bCs/>
          <w:lang w:val="en-US" w:eastAsia="zh-CN"/>
        </w:rPr>
        <w:t>经常账户</w:t>
      </w:r>
      <w:r>
        <w:rPr>
          <w:rFonts w:hint="eastAsia"/>
          <w:lang w:val="en-US" w:eastAsia="zh-CN"/>
        </w:rPr>
        <w:t>-自主性交易账户；</w:t>
      </w:r>
      <w:r>
        <w:rPr>
          <w:rFonts w:hint="eastAsia"/>
          <w:b/>
          <w:bCs/>
          <w:lang w:val="en-US" w:eastAsia="zh-CN"/>
        </w:rPr>
        <w:t>错误与遗漏项目</w:t>
      </w:r>
      <w:r>
        <w:rPr>
          <w:rFonts w:hint="eastAsia"/>
          <w:lang w:val="en-US" w:eastAsia="zh-CN"/>
        </w:rPr>
        <w:t>-人为项目</w:t>
      </w:r>
    </w:p>
    <w:p>
      <w:pPr>
        <w:widowControl w:val="0"/>
        <w:numPr>
          <w:ilvl w:val="0"/>
          <w:numId w:val="0"/>
        </w:numPr>
        <w:jc w:val="both"/>
        <w:rPr>
          <w:rFonts w:hint="eastAsia"/>
          <w:lang w:val="en-US" w:eastAsia="zh-CN"/>
        </w:rPr>
      </w:pPr>
      <w:r>
        <w:rPr>
          <w:rFonts w:hint="eastAsia"/>
          <w:b w:val="0"/>
          <w:bCs w:val="0"/>
          <w:lang w:val="en-US" w:eastAsia="zh-CN"/>
        </w:rPr>
        <w:t>资本与金融账户中</w:t>
      </w:r>
      <w:r>
        <w:rPr>
          <w:rFonts w:hint="eastAsia"/>
          <w:b/>
          <w:bCs/>
          <w:lang w:val="en-US" w:eastAsia="zh-CN"/>
        </w:rPr>
        <w:t>储备资产项目</w:t>
      </w:r>
      <w:r>
        <w:rPr>
          <w:rFonts w:hint="eastAsia"/>
          <w:lang w:val="en-US" w:eastAsia="zh-CN"/>
        </w:rPr>
        <w:t>-补偿性/调节性交易账户——</w:t>
      </w:r>
      <w:r>
        <w:rPr>
          <w:rFonts w:hint="default"/>
          <w:lang w:val="en-US" w:eastAsia="zh-CN"/>
        </w:rPr>
        <w:t>&gt;</w:t>
      </w:r>
      <w:r>
        <w:rPr>
          <w:rFonts w:hint="eastAsia"/>
          <w:lang w:val="en-US" w:eastAsia="zh-CN"/>
        </w:rPr>
        <w:t>差额在借方：增加相应储备【平衡表的余额恒=0】</w:t>
      </w:r>
    </w:p>
    <w:p>
      <w:pPr>
        <w:keepNext w:val="0"/>
        <w:keepLines w:val="0"/>
        <w:widowControl/>
        <w:suppressLineNumbers w:val="0"/>
        <w:jc w:val="left"/>
        <w:rPr>
          <w:rFonts w:hint="eastAsia"/>
          <w:lang w:val="en-US" w:eastAsia="zh-CN"/>
        </w:rPr>
      </w:pPr>
      <w:r>
        <w:rPr>
          <w:rFonts w:ascii="MicrosoftYaHei" w:hAnsi="MicrosoftYaHei" w:eastAsia="MicrosoftYaHei" w:cs="MicrosoftYaHei"/>
          <w:color w:val="62A39F"/>
          <w:kern w:val="0"/>
          <w:sz w:val="28"/>
          <w:szCs w:val="28"/>
          <w:lang w:val="en-US" w:eastAsia="zh-CN" w:bidi="ar"/>
        </w:rPr>
        <w:t>总差额=（经常项目差额+资本和金融项目差额+错误与遗漏）</w:t>
      </w:r>
    </w:p>
    <w:p>
      <w:pPr>
        <w:widowControl w:val="0"/>
        <w:numPr>
          <w:ilvl w:val="0"/>
          <w:numId w:val="0"/>
        </w:numPr>
        <w:jc w:val="both"/>
        <w:rPr>
          <w:rFonts w:hint="eastAsia"/>
          <w:lang w:val="en-US" w:eastAsia="zh-CN"/>
        </w:rPr>
      </w:pPr>
      <w:r>
        <w:rPr>
          <w:rFonts w:hint="eastAsia"/>
          <w:lang w:val="en-US" w:eastAsia="zh-CN"/>
        </w:rPr>
        <w:t>综合账户差额——</w:t>
      </w:r>
      <w:r>
        <w:rPr>
          <w:rFonts w:hint="default"/>
          <w:lang w:val="en-US" w:eastAsia="zh-CN"/>
        </w:rPr>
        <w:t>&gt;</w:t>
      </w:r>
      <w:r>
        <w:rPr>
          <w:rFonts w:hint="eastAsia"/>
          <w:lang w:val="en-US" w:eastAsia="zh-CN"/>
        </w:rPr>
        <w:t>较好衡量国际收支对国际储备造成的压力（剔除了储备差额）</w:t>
      </w:r>
    </w:p>
    <w:p>
      <w:pPr>
        <w:widowControl w:val="0"/>
        <w:numPr>
          <w:ilvl w:val="0"/>
          <w:numId w:val="0"/>
        </w:numPr>
        <w:jc w:val="both"/>
        <w:rPr>
          <w:rFonts w:hint="default"/>
          <w:lang w:val="en-US" w:eastAsia="zh-CN"/>
        </w:rPr>
      </w:pPr>
      <w:r>
        <w:rPr>
          <w:rFonts w:hint="default"/>
          <w:lang w:val="en-US" w:eastAsia="zh-CN"/>
        </w:rPr>
        <w:t>总差额&gt;0，国际收支顺差</w:t>
      </w:r>
      <w:r>
        <w:rPr>
          <w:rFonts w:hint="eastAsia"/>
          <w:lang w:val="en-US" w:eastAsia="zh-CN"/>
        </w:rPr>
        <w:t>——</w:t>
      </w:r>
      <w:r>
        <w:rPr>
          <w:rFonts w:hint="default"/>
          <w:lang w:val="en-US" w:eastAsia="zh-CN"/>
        </w:rPr>
        <w:t>&gt;官方储备就会增加</w:t>
      </w:r>
    </w:p>
    <w:p>
      <w:pPr>
        <w:widowControl w:val="0"/>
        <w:numPr>
          <w:ilvl w:val="0"/>
          <w:numId w:val="0"/>
        </w:numPr>
        <w:jc w:val="both"/>
        <w:rPr>
          <w:rFonts w:hint="eastAsia"/>
          <w:lang w:val="en-US" w:eastAsia="zh-CN"/>
        </w:rPr>
      </w:pPr>
      <w:r>
        <w:rPr>
          <w:rFonts w:hint="default"/>
          <w:lang w:val="en-US" w:eastAsia="zh-CN"/>
        </w:rPr>
        <w:t>总差额&lt;0国国际收支逆差</w:t>
      </w:r>
      <w:r>
        <w:rPr>
          <w:rFonts w:hint="eastAsia"/>
          <w:lang w:val="en-US" w:eastAsia="zh-CN"/>
        </w:rPr>
        <w:t>——</w:t>
      </w:r>
      <w:r>
        <w:rPr>
          <w:rFonts w:hint="default"/>
          <w:lang w:val="en-US" w:eastAsia="zh-CN"/>
        </w:rPr>
        <w:t>&gt;官方储备要减少</w:t>
      </w:r>
    </w:p>
    <w:p>
      <w:pPr>
        <w:widowControl w:val="0"/>
        <w:numPr>
          <w:ilvl w:val="0"/>
          <w:numId w:val="0"/>
        </w:numPr>
        <w:jc w:val="both"/>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-249555</wp:posOffset>
            </wp:positionH>
            <wp:positionV relativeFrom="paragraph">
              <wp:posOffset>17780</wp:posOffset>
            </wp:positionV>
            <wp:extent cx="5588635" cy="4120515"/>
            <wp:effectExtent l="0" t="0" r="24765" b="19685"/>
            <wp:wrapNone/>
            <wp:docPr id="2" name="图片 2" descr="截屏2024-06-08 16.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4-06-08 16.24.56"/>
                    <pic:cNvPicPr>
                      <a:picLocks noChangeAspect="1"/>
                    </pic:cNvPicPr>
                  </pic:nvPicPr>
                  <pic:blipFill>
                    <a:blip r:embed="rId6"/>
                    <a:stretch>
                      <a:fillRect/>
                    </a:stretch>
                  </pic:blipFill>
                  <pic:spPr>
                    <a:xfrm>
                      <a:off x="0" y="0"/>
                      <a:ext cx="5588635" cy="4120515"/>
                    </a:xfrm>
                    <a:prstGeom prst="rect">
                      <a:avLst/>
                    </a:prstGeom>
                  </pic:spPr>
                </pic:pic>
              </a:graphicData>
            </a:graphic>
          </wp:anchor>
        </w:drawing>
      </w:r>
    </w:p>
    <w:p>
      <w:pPr>
        <w:widowControl w:val="0"/>
        <w:numPr>
          <w:ilvl w:val="0"/>
          <w:numId w:val="0"/>
        </w:numPr>
        <w:jc w:val="both"/>
        <w:rPr>
          <w:rFonts w:hint="eastAsia"/>
          <w:lang w:val="en-US" w:eastAsia="zh-CN"/>
        </w:rPr>
      </w:pPr>
      <w:r>
        <w:rPr>
          <w:sz w:val="21"/>
        </w:rPr>
        <mc:AlternateContent>
          <mc:Choice Requires="wps">
            <w:drawing>
              <wp:anchor distT="0" distB="0" distL="114300" distR="114300" simplePos="0" relativeHeight="251663360" behindDoc="0" locked="0" layoutInCell="1" allowOverlap="1">
                <wp:simplePos x="0" y="0"/>
                <wp:positionH relativeFrom="column">
                  <wp:posOffset>-1292225</wp:posOffset>
                </wp:positionH>
                <wp:positionV relativeFrom="paragraph">
                  <wp:posOffset>144145</wp:posOffset>
                </wp:positionV>
                <wp:extent cx="1146175" cy="1489075"/>
                <wp:effectExtent l="6350" t="6350" r="15875" b="28575"/>
                <wp:wrapNone/>
                <wp:docPr id="6" name="文本框 6"/>
                <wp:cNvGraphicFramePr/>
                <a:graphic xmlns:a="http://schemas.openxmlformats.org/drawingml/2006/main">
                  <a:graphicData uri="http://schemas.microsoft.com/office/word/2010/wordprocessingShape">
                    <wps:wsp>
                      <wps:cNvSpPr txBox="1"/>
                      <wps:spPr>
                        <a:xfrm>
                          <a:off x="163830" y="3806825"/>
                          <a:ext cx="1146175" cy="1489075"/>
                        </a:xfrm>
                        <a:prstGeom prst="rect">
                          <a:avLst/>
                        </a:prstGeom>
                      </wps:spPr>
                      <wps:style>
                        <a:lnRef idx="3">
                          <a:schemeClr val="accent1"/>
                        </a:lnRef>
                        <a:fillRef idx="0">
                          <a:srgbClr val="FFFFFF"/>
                        </a:fillRef>
                        <a:effectRef idx="0">
                          <a:srgbClr val="FFFFFF"/>
                        </a:effectRef>
                        <a:fontRef idx="minor">
                          <a:schemeClr val="tx1"/>
                        </a:fontRef>
                      </wps:style>
                      <wps:txbx>
                        <w:txbxContent>
                          <w:p>
                            <w:pPr>
                              <w:widowControl w:val="0"/>
                              <w:numPr>
                                <w:ilvl w:val="0"/>
                                <w:numId w:val="0"/>
                              </w:numPr>
                              <w:ind w:firstLine="260" w:firstLineChars="200"/>
                              <w:jc w:val="both"/>
                              <w:rPr>
                                <w:rFonts w:hint="eastAsia"/>
                                <w:sz w:val="13"/>
                                <w:szCs w:val="16"/>
                                <w:lang w:val="en-US" w:eastAsia="zh-CN"/>
                              </w:rPr>
                            </w:pPr>
                            <w:r>
                              <w:rPr>
                                <w:rFonts w:hint="eastAsia"/>
                                <w:sz w:val="13"/>
                                <w:szCs w:val="16"/>
                                <w:lang w:val="en-US" w:eastAsia="zh-CN"/>
                              </w:rPr>
                              <w:t>初次收入=雇员报酬</w:t>
                            </w:r>
                          </w:p>
                          <w:p>
                            <w:pPr>
                              <w:widowControl w:val="0"/>
                              <w:numPr>
                                <w:ilvl w:val="0"/>
                                <w:numId w:val="0"/>
                              </w:numPr>
                              <w:ind w:firstLine="325" w:firstLineChars="250"/>
                              <w:jc w:val="right"/>
                              <w:rPr>
                                <w:rFonts w:hint="eastAsia"/>
                                <w:sz w:val="13"/>
                                <w:szCs w:val="16"/>
                                <w:lang w:val="en-US" w:eastAsia="zh-CN"/>
                              </w:rPr>
                            </w:pPr>
                            <w:r>
                              <w:rPr>
                                <w:rFonts w:hint="eastAsia"/>
                                <w:sz w:val="13"/>
                                <w:szCs w:val="16"/>
                                <w:lang w:val="en-US" w:eastAsia="zh-CN"/>
                              </w:rPr>
                              <w:t>+直接投资收益</w:t>
                            </w:r>
                          </w:p>
                          <w:p>
                            <w:pPr>
                              <w:widowControl w:val="0"/>
                              <w:numPr>
                                <w:ilvl w:val="0"/>
                                <w:numId w:val="0"/>
                              </w:numPr>
                              <w:ind w:firstLine="325" w:firstLineChars="250"/>
                              <w:jc w:val="right"/>
                              <w:rPr>
                                <w:rFonts w:hint="eastAsia"/>
                                <w:sz w:val="13"/>
                                <w:szCs w:val="16"/>
                                <w:lang w:val="en-US" w:eastAsia="zh-CN"/>
                              </w:rPr>
                            </w:pPr>
                            <w:r>
                              <w:rPr>
                                <w:rFonts w:hint="eastAsia"/>
                                <w:sz w:val="13"/>
                                <w:szCs w:val="16"/>
                                <w:lang w:val="en-US" w:eastAsia="zh-CN"/>
                              </w:rPr>
                              <w:t>+间接投资收益</w:t>
                            </w:r>
                          </w:p>
                          <w:p>
                            <w:pPr>
                              <w:widowControl w:val="0"/>
                              <w:numPr>
                                <w:ilvl w:val="0"/>
                                <w:numId w:val="0"/>
                              </w:numPr>
                              <w:ind w:firstLine="325" w:firstLineChars="250"/>
                              <w:jc w:val="right"/>
                              <w:rPr>
                                <w:rFonts w:hint="eastAsia"/>
                                <w:sz w:val="13"/>
                                <w:szCs w:val="16"/>
                                <w:lang w:val="en-US" w:eastAsia="zh-CN"/>
                              </w:rPr>
                            </w:pPr>
                            <w:r>
                              <w:rPr>
                                <w:rFonts w:hint="eastAsia"/>
                                <w:sz w:val="13"/>
                                <w:szCs w:val="16"/>
                                <w:lang w:val="en-US" w:eastAsia="zh-CN"/>
                              </w:rPr>
                              <w:t>+其他初次收入</w:t>
                            </w:r>
                          </w:p>
                          <w:p>
                            <w:pPr>
                              <w:widowControl w:val="0"/>
                              <w:numPr>
                                <w:ilvl w:val="0"/>
                                <w:numId w:val="0"/>
                              </w:numPr>
                              <w:jc w:val="right"/>
                              <w:rPr>
                                <w:rFonts w:hint="eastAsia"/>
                                <w:sz w:val="13"/>
                                <w:szCs w:val="16"/>
                                <w:lang w:val="en-US" w:eastAsia="zh-CN"/>
                              </w:rPr>
                            </w:pPr>
                            <w:r>
                              <w:rPr>
                                <w:rFonts w:hint="eastAsia"/>
                                <w:sz w:val="13"/>
                                <w:szCs w:val="16"/>
                                <w:lang w:val="en-US" w:eastAsia="zh-CN"/>
                              </w:rPr>
                              <w:t xml:space="preserve">其他初次收入=租金 </w:t>
                            </w:r>
                          </w:p>
                          <w:p>
                            <w:pPr>
                              <w:widowControl w:val="0"/>
                              <w:numPr>
                                <w:ilvl w:val="0"/>
                                <w:numId w:val="0"/>
                              </w:numPr>
                              <w:ind w:firstLine="390" w:firstLineChars="300"/>
                              <w:jc w:val="right"/>
                              <w:rPr>
                                <w:rFonts w:hint="eastAsia"/>
                                <w:sz w:val="13"/>
                                <w:szCs w:val="16"/>
                                <w:lang w:val="en-US" w:eastAsia="zh-CN"/>
                              </w:rPr>
                            </w:pPr>
                            <w:r>
                              <w:rPr>
                                <w:rFonts w:hint="eastAsia"/>
                                <w:sz w:val="13"/>
                                <w:szCs w:val="16"/>
                                <w:lang w:val="en-US" w:eastAsia="zh-CN"/>
                              </w:rPr>
                              <w:t xml:space="preserve">+ 生产税、进口税 </w:t>
                            </w:r>
                          </w:p>
                          <w:p>
                            <w:pPr>
                              <w:widowControl w:val="0"/>
                              <w:numPr>
                                <w:ilvl w:val="0"/>
                                <w:numId w:val="0"/>
                              </w:numPr>
                              <w:ind w:firstLine="390" w:firstLineChars="300"/>
                              <w:jc w:val="right"/>
                              <w:rPr>
                                <w:sz w:val="13"/>
                                <w:szCs w:val="16"/>
                              </w:rPr>
                            </w:pPr>
                            <w:r>
                              <w:rPr>
                                <w:rFonts w:hint="eastAsia"/>
                                <w:sz w:val="13"/>
                                <w:szCs w:val="16"/>
                                <w:lang w:val="en-US" w:eastAsia="zh-CN"/>
                              </w:rPr>
                              <w:t>+ 补贴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1.75pt;margin-top:11.35pt;height:117.25pt;width:90.25pt;z-index:251663360;mso-width-relative:page;mso-height-relative:page;" filled="f" stroked="t" coordsize="21600,21600" o:gfxdata="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WAAAA&#10;ZHJzL1BLAQIUABQAAAAIAIdO4kBQ0xWA2AAAAAsBAAAPAAAAAAAAAAEAIAAAADgAAABkcnMvZG93&#10;bnJldi54bWxQSwECFAAUAAAACACHTuJAdPfFZM4CAACMBQAADgAAAAAAAAABACAAAAA9AQAAZHJz&#10;L2Uyb0RvYy54bWxQSwUGAAAAAAYABgBZAQAAfQYAAAAA&#10;">
                <v:fill on="f" focussize="0,0"/>
                <v:stroke weight="1pt" color="#000000" miterlimit="8" joinstyle="miter"/>
                <v:imagedata o:title=""/>
                <o:lock v:ext="edit" aspectratio="f"/>
                <v:textbox>
                  <w:txbxContent>
                    <w:p>
                      <w:pPr>
                        <w:widowControl w:val="0"/>
                        <w:numPr>
                          <w:ilvl w:val="0"/>
                          <w:numId w:val="0"/>
                        </w:numPr>
                        <w:ind w:firstLine="260" w:firstLineChars="200"/>
                        <w:jc w:val="both"/>
                        <w:rPr>
                          <w:rFonts w:hint="eastAsia"/>
                          <w:sz w:val="13"/>
                          <w:szCs w:val="16"/>
                          <w:lang w:val="en-US" w:eastAsia="zh-CN"/>
                        </w:rPr>
                      </w:pPr>
                      <w:r>
                        <w:rPr>
                          <w:rFonts w:hint="eastAsia"/>
                          <w:sz w:val="13"/>
                          <w:szCs w:val="16"/>
                          <w:lang w:val="en-US" w:eastAsia="zh-CN"/>
                        </w:rPr>
                        <w:t>初次收入=雇员报酬</w:t>
                      </w:r>
                    </w:p>
                    <w:p>
                      <w:pPr>
                        <w:widowControl w:val="0"/>
                        <w:numPr>
                          <w:ilvl w:val="0"/>
                          <w:numId w:val="0"/>
                        </w:numPr>
                        <w:ind w:firstLine="325" w:firstLineChars="250"/>
                        <w:jc w:val="right"/>
                        <w:rPr>
                          <w:rFonts w:hint="eastAsia"/>
                          <w:sz w:val="13"/>
                          <w:szCs w:val="16"/>
                          <w:lang w:val="en-US" w:eastAsia="zh-CN"/>
                        </w:rPr>
                      </w:pPr>
                      <w:r>
                        <w:rPr>
                          <w:rFonts w:hint="eastAsia"/>
                          <w:sz w:val="13"/>
                          <w:szCs w:val="16"/>
                          <w:lang w:val="en-US" w:eastAsia="zh-CN"/>
                        </w:rPr>
                        <w:t>+直接投资收益</w:t>
                      </w:r>
                    </w:p>
                    <w:p>
                      <w:pPr>
                        <w:widowControl w:val="0"/>
                        <w:numPr>
                          <w:ilvl w:val="0"/>
                          <w:numId w:val="0"/>
                        </w:numPr>
                        <w:ind w:firstLine="325" w:firstLineChars="250"/>
                        <w:jc w:val="right"/>
                        <w:rPr>
                          <w:rFonts w:hint="eastAsia"/>
                          <w:sz w:val="13"/>
                          <w:szCs w:val="16"/>
                          <w:lang w:val="en-US" w:eastAsia="zh-CN"/>
                        </w:rPr>
                      </w:pPr>
                      <w:r>
                        <w:rPr>
                          <w:rFonts w:hint="eastAsia"/>
                          <w:sz w:val="13"/>
                          <w:szCs w:val="16"/>
                          <w:lang w:val="en-US" w:eastAsia="zh-CN"/>
                        </w:rPr>
                        <w:t>+间接投资收益</w:t>
                      </w:r>
                    </w:p>
                    <w:p>
                      <w:pPr>
                        <w:widowControl w:val="0"/>
                        <w:numPr>
                          <w:ilvl w:val="0"/>
                          <w:numId w:val="0"/>
                        </w:numPr>
                        <w:ind w:firstLine="325" w:firstLineChars="250"/>
                        <w:jc w:val="right"/>
                        <w:rPr>
                          <w:rFonts w:hint="eastAsia"/>
                          <w:sz w:val="13"/>
                          <w:szCs w:val="16"/>
                          <w:lang w:val="en-US" w:eastAsia="zh-CN"/>
                        </w:rPr>
                      </w:pPr>
                      <w:r>
                        <w:rPr>
                          <w:rFonts w:hint="eastAsia"/>
                          <w:sz w:val="13"/>
                          <w:szCs w:val="16"/>
                          <w:lang w:val="en-US" w:eastAsia="zh-CN"/>
                        </w:rPr>
                        <w:t>+其他初次收入</w:t>
                      </w:r>
                    </w:p>
                    <w:p>
                      <w:pPr>
                        <w:widowControl w:val="0"/>
                        <w:numPr>
                          <w:ilvl w:val="0"/>
                          <w:numId w:val="0"/>
                        </w:numPr>
                        <w:jc w:val="right"/>
                        <w:rPr>
                          <w:rFonts w:hint="eastAsia"/>
                          <w:sz w:val="13"/>
                          <w:szCs w:val="16"/>
                          <w:lang w:val="en-US" w:eastAsia="zh-CN"/>
                        </w:rPr>
                      </w:pPr>
                      <w:r>
                        <w:rPr>
                          <w:rFonts w:hint="eastAsia"/>
                          <w:sz w:val="13"/>
                          <w:szCs w:val="16"/>
                          <w:lang w:val="en-US" w:eastAsia="zh-CN"/>
                        </w:rPr>
                        <w:t xml:space="preserve">其他初次收入=租金 </w:t>
                      </w:r>
                    </w:p>
                    <w:p>
                      <w:pPr>
                        <w:widowControl w:val="0"/>
                        <w:numPr>
                          <w:ilvl w:val="0"/>
                          <w:numId w:val="0"/>
                        </w:numPr>
                        <w:ind w:firstLine="390" w:firstLineChars="300"/>
                        <w:jc w:val="right"/>
                        <w:rPr>
                          <w:rFonts w:hint="eastAsia"/>
                          <w:sz w:val="13"/>
                          <w:szCs w:val="16"/>
                          <w:lang w:val="en-US" w:eastAsia="zh-CN"/>
                        </w:rPr>
                      </w:pPr>
                      <w:r>
                        <w:rPr>
                          <w:rFonts w:hint="eastAsia"/>
                          <w:sz w:val="13"/>
                          <w:szCs w:val="16"/>
                          <w:lang w:val="en-US" w:eastAsia="zh-CN"/>
                        </w:rPr>
                        <w:t xml:space="preserve">+ 生产税、进口税 </w:t>
                      </w:r>
                    </w:p>
                    <w:p>
                      <w:pPr>
                        <w:widowControl w:val="0"/>
                        <w:numPr>
                          <w:ilvl w:val="0"/>
                          <w:numId w:val="0"/>
                        </w:numPr>
                        <w:ind w:firstLine="390" w:firstLineChars="300"/>
                        <w:jc w:val="right"/>
                        <w:rPr>
                          <w:sz w:val="13"/>
                          <w:szCs w:val="16"/>
                        </w:rPr>
                      </w:pPr>
                      <w:r>
                        <w:rPr>
                          <w:rFonts w:hint="eastAsia"/>
                          <w:sz w:val="13"/>
                          <w:szCs w:val="16"/>
                          <w:lang w:val="en-US" w:eastAsia="zh-CN"/>
                        </w:rPr>
                        <w:t>+ 补贴</w:t>
                      </w:r>
                    </w:p>
                  </w:txbxContent>
                </v:textbox>
              </v:shape>
            </w:pict>
          </mc:Fallback>
        </mc:AlternateConten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sz w:val="21"/>
        </w:rPr>
        <mc:AlternateContent>
          <mc:Choice Requires="wps">
            <w:drawing>
              <wp:anchor distT="0" distB="0" distL="114300" distR="114300" simplePos="0" relativeHeight="251691008" behindDoc="0" locked="0" layoutInCell="1" allowOverlap="1">
                <wp:simplePos x="0" y="0"/>
                <wp:positionH relativeFrom="column">
                  <wp:posOffset>3888740</wp:posOffset>
                </wp:positionH>
                <wp:positionV relativeFrom="paragraph">
                  <wp:posOffset>115570</wp:posOffset>
                </wp:positionV>
                <wp:extent cx="859790" cy="262890"/>
                <wp:effectExtent l="6350" t="6350" r="22860" b="10160"/>
                <wp:wrapNone/>
                <wp:docPr id="36" name="文本框 36"/>
                <wp:cNvGraphicFramePr/>
                <a:graphic xmlns:a="http://schemas.openxmlformats.org/drawingml/2006/main">
                  <a:graphicData uri="http://schemas.microsoft.com/office/word/2010/wordprocessingShape">
                    <wps:wsp>
                      <wps:cNvSpPr txBox="1"/>
                      <wps:spPr>
                        <a:xfrm>
                          <a:off x="0" y="0"/>
                          <a:ext cx="859790" cy="26289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bidi w:val="0"/>
                              <w:adjustRightInd/>
                              <w:snapToGrid/>
                              <w:spacing w:line="240" w:lineRule="atLeast"/>
                              <w:textAlignment w:val="auto"/>
                              <w:rPr>
                                <w:rFonts w:hint="default" w:eastAsiaTheme="minorEastAsia"/>
                                <w:b/>
                                <w:bCs/>
                                <w:color w:val="FF0000"/>
                                <w:sz w:val="18"/>
                                <w:szCs w:val="21"/>
                                <w:lang w:val="en-US" w:eastAsia="zh-CN"/>
                              </w:rPr>
                            </w:pPr>
                            <w:r>
                              <w:rPr>
                                <w:rFonts w:hint="eastAsia"/>
                                <w:b/>
                                <w:bCs/>
                                <w:color w:val="FF0000"/>
                                <w:sz w:val="18"/>
                                <w:szCs w:val="21"/>
                                <w:lang w:val="en-US" w:eastAsia="zh-CN"/>
                              </w:rPr>
                              <w:t>（资本流出）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2pt;margin-top:9.1pt;height:20.7pt;width:67.7pt;z-index:251691008;mso-width-relative:page;mso-height-relative:page;" fillcolor="#FFFFFF [3201]" filled="t" stroked="t" coordsize="21600,21600" o:gfxdata="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FgAAAGRycy9QSwECFAAUAAAACACHTuJAcl0xidwAAAALAQAADwAAAAAAAAABACAAAAA4AAAA&#10;ZHJzL2Rvd25yZXYueG1sUEsBAhQAFAAAAAgAh07iQKqUyDdfAgAA1gQAAA4AAAAAAAAAAQAgAAAA&#10;QQEAAGRycy9lMm9Eb2MueG1sUEsFBgAAAAAGAAYAWQEAABIGAAAAAA==&#10;">
                <v:fill on="t" focussize="0,0"/>
                <v:stroke weight="0.5pt" color="#000000 [3204]" opacity="0f" joinstyle="round"/>
                <v:imagedata o:title=""/>
                <o:lock v:ext="edit" aspectratio="f"/>
                <v:textbox>
                  <w:txbxContent>
                    <w:p>
                      <w:pPr>
                        <w:keepNext w:val="0"/>
                        <w:keepLines w:val="0"/>
                        <w:pageBreakBefore w:val="0"/>
                        <w:widowControl w:val="0"/>
                        <w:kinsoku/>
                        <w:wordWrap/>
                        <w:overflowPunct/>
                        <w:topLinePunct w:val="0"/>
                        <w:bidi w:val="0"/>
                        <w:adjustRightInd/>
                        <w:snapToGrid/>
                        <w:spacing w:line="240" w:lineRule="atLeast"/>
                        <w:textAlignment w:val="auto"/>
                        <w:rPr>
                          <w:rFonts w:hint="default" w:eastAsiaTheme="minorEastAsia"/>
                          <w:b/>
                          <w:bCs/>
                          <w:color w:val="FF0000"/>
                          <w:sz w:val="18"/>
                          <w:szCs w:val="21"/>
                          <w:lang w:val="en-US" w:eastAsia="zh-CN"/>
                        </w:rPr>
                      </w:pPr>
                      <w:r>
                        <w:rPr>
                          <w:rFonts w:hint="eastAsia"/>
                          <w:b/>
                          <w:bCs/>
                          <w:color w:val="FF0000"/>
                          <w:sz w:val="18"/>
                          <w:szCs w:val="21"/>
                          <w:lang w:val="en-US" w:eastAsia="zh-CN"/>
                        </w:rPr>
                        <w:t>（资本流出）</w:t>
                      </w:r>
                    </w:p>
                  </w:txbxContent>
                </v:textbox>
              </v:shape>
            </w:pict>
          </mc:Fallback>
        </mc:AlternateContent>
      </w:r>
      <w:r>
        <w:rPr>
          <w:sz w:val="21"/>
        </w:rPr>
        <mc:AlternateContent>
          <mc:Choice Requires="wps">
            <w:drawing>
              <wp:anchor distT="0" distB="0" distL="114300" distR="114300" simplePos="0" relativeHeight="251692032" behindDoc="0" locked="0" layoutInCell="1" allowOverlap="1">
                <wp:simplePos x="0" y="0"/>
                <wp:positionH relativeFrom="column">
                  <wp:posOffset>2537460</wp:posOffset>
                </wp:positionH>
                <wp:positionV relativeFrom="paragraph">
                  <wp:posOffset>109220</wp:posOffset>
                </wp:positionV>
                <wp:extent cx="859790" cy="262890"/>
                <wp:effectExtent l="6350" t="6350" r="22860" b="10160"/>
                <wp:wrapNone/>
                <wp:docPr id="37" name="文本框 37"/>
                <wp:cNvGraphicFramePr/>
                <a:graphic xmlns:a="http://schemas.openxmlformats.org/drawingml/2006/main">
                  <a:graphicData uri="http://schemas.microsoft.com/office/word/2010/wordprocessingShape">
                    <wps:wsp>
                      <wps:cNvSpPr txBox="1"/>
                      <wps:spPr>
                        <a:xfrm>
                          <a:off x="0" y="0"/>
                          <a:ext cx="859790" cy="262890"/>
                        </a:xfrm>
                        <a:prstGeom prst="rect">
                          <a:avLst/>
                        </a:prstGeom>
                        <a:solidFill>
                          <a:schemeClr val="lt1"/>
                        </a:solidFill>
                        <a:ln w="6350">
                          <a:solidFill>
                            <a:srgbClr val="000000">
                              <a:alpha val="0"/>
                            </a:srgbClr>
                          </a:solid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bidi w:val="0"/>
                              <w:adjustRightInd/>
                              <w:snapToGrid/>
                              <w:spacing w:line="240" w:lineRule="atLeast"/>
                              <w:textAlignment w:val="auto"/>
                              <w:rPr>
                                <w:rFonts w:hint="default" w:eastAsiaTheme="minorEastAsia"/>
                                <w:b/>
                                <w:bCs/>
                                <w:color w:val="FF0000"/>
                                <w:sz w:val="18"/>
                                <w:szCs w:val="21"/>
                                <w:lang w:val="en-US" w:eastAsia="zh-CN"/>
                              </w:rPr>
                            </w:pPr>
                            <w:r>
                              <w:rPr>
                                <w:rFonts w:hint="eastAsia"/>
                                <w:b/>
                                <w:bCs/>
                                <w:color w:val="FF0000"/>
                                <w:sz w:val="18"/>
                                <w:szCs w:val="21"/>
                                <w:lang w:val="en-US" w:eastAsia="zh-CN"/>
                              </w:rPr>
                              <w:t>（资本流入）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8pt;margin-top:8.6pt;height:20.7pt;width:67.7pt;z-index:251692032;mso-width-relative:page;mso-height-relative:page;" fillcolor="#FFFFFF [3201]" filled="t" stroked="t" coordsize="21600,21600" o:gfxdata="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FgAAAGRycy9QSwECFAAUAAAACACHTuJAmMvCGNsAAAAJAQAADwAAAAAAAAABACAAAAA4AAAA&#10;ZHJzL2Rvd25yZXYueG1sUEsBAhQAFAAAAAgAh07iQKVbBTlgAgAA1gQAAA4AAAAAAAAAAQAgAAAA&#10;QAEAAGRycy9lMm9Eb2MueG1sUEsFBgAAAAAGAAYAWQEAABIGAAAAAA==&#10;">
                <v:fill on="t" focussize="0,0"/>
                <v:stroke weight="0.5pt" color="#000000 [3204]" opacity="0f" joinstyle="round"/>
                <v:imagedata o:title=""/>
                <o:lock v:ext="edit" aspectratio="f"/>
                <v:textbox>
                  <w:txbxContent>
                    <w:p>
                      <w:pPr>
                        <w:keepNext w:val="0"/>
                        <w:keepLines w:val="0"/>
                        <w:pageBreakBefore w:val="0"/>
                        <w:widowControl w:val="0"/>
                        <w:kinsoku/>
                        <w:wordWrap/>
                        <w:overflowPunct/>
                        <w:topLinePunct w:val="0"/>
                        <w:bidi w:val="0"/>
                        <w:adjustRightInd/>
                        <w:snapToGrid/>
                        <w:spacing w:line="240" w:lineRule="atLeast"/>
                        <w:textAlignment w:val="auto"/>
                        <w:rPr>
                          <w:rFonts w:hint="default" w:eastAsiaTheme="minorEastAsia"/>
                          <w:b/>
                          <w:bCs/>
                          <w:color w:val="FF0000"/>
                          <w:sz w:val="18"/>
                          <w:szCs w:val="21"/>
                          <w:lang w:val="en-US" w:eastAsia="zh-CN"/>
                        </w:rPr>
                      </w:pPr>
                      <w:r>
                        <w:rPr>
                          <w:rFonts w:hint="eastAsia"/>
                          <w:b/>
                          <w:bCs/>
                          <w:color w:val="FF0000"/>
                          <w:sz w:val="18"/>
                          <w:szCs w:val="21"/>
                          <w:lang w:val="en-US" w:eastAsia="zh-CN"/>
                        </w:rPr>
                        <w:t>（资本流入）</w:t>
                      </w:r>
                    </w:p>
                  </w:txbxContent>
                </v:textbox>
              </v:shape>
            </w:pict>
          </mc:Fallback>
        </mc:AlternateConten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bookmarkStart w:id="0" w:name="_GoBack"/>
      <w:bookmarkEnd w:id="0"/>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借方：资金来源的减少；资金的使用和占用的增加（资本流入）</w:t>
      </w:r>
    </w:p>
    <w:p>
      <w:pPr>
        <w:widowControl w:val="0"/>
        <w:numPr>
          <w:ilvl w:val="0"/>
          <w:numId w:val="0"/>
        </w:numPr>
        <w:ind w:firstLine="631" w:firstLineChars="300"/>
        <w:jc w:val="both"/>
        <w:rPr>
          <w:rFonts w:hint="default"/>
          <w:lang w:val="en-US" w:eastAsia="zh-CN"/>
        </w:rPr>
      </w:pPr>
      <w:r>
        <w:rPr>
          <w:rFonts w:hint="eastAsia"/>
          <w:b/>
          <w:bCs/>
          <w:lang w:val="en-US" w:eastAsia="zh-CN"/>
        </w:rPr>
        <w:t>进口</w:t>
      </w:r>
      <w:r>
        <w:rPr>
          <w:rFonts w:hint="eastAsia"/>
          <w:lang w:val="en-US" w:eastAsia="zh-CN"/>
        </w:rPr>
        <w:t>实际资源的经常项目；资产增加或负债减少的金融项目</w:t>
      </w:r>
    </w:p>
    <w:p>
      <w:pPr>
        <w:widowControl w:val="0"/>
        <w:numPr>
          <w:ilvl w:val="0"/>
          <w:numId w:val="0"/>
        </w:numPr>
        <w:jc w:val="both"/>
        <w:rPr>
          <w:rFonts w:hint="default"/>
          <w:lang w:val="en-US" w:eastAsia="zh-CN"/>
        </w:rPr>
      </w:pPr>
      <w:r>
        <w:rPr>
          <w:rFonts w:hint="eastAsia"/>
          <w:lang w:val="en-US" w:eastAsia="zh-CN"/>
        </w:rPr>
        <w:t>贷方：资金来源的增加；资金的使用和占用的减少（资本流出）</w:t>
      </w:r>
    </w:p>
    <w:p>
      <w:pPr>
        <w:widowControl w:val="0"/>
        <w:numPr>
          <w:ilvl w:val="0"/>
          <w:numId w:val="0"/>
        </w:numPr>
        <w:ind w:firstLine="631" w:firstLineChars="300"/>
        <w:jc w:val="both"/>
        <w:rPr>
          <w:rFonts w:hint="default"/>
          <w:lang w:val="en-US" w:eastAsia="zh-CN"/>
        </w:rPr>
      </w:pPr>
      <w:r>
        <w:rPr>
          <w:rFonts w:hint="eastAsia"/>
          <w:b/>
          <w:bCs/>
          <w:lang w:val="en-US" w:eastAsia="zh-CN"/>
        </w:rPr>
        <w:t>出口</w:t>
      </w:r>
      <w:r>
        <w:rPr>
          <w:rFonts w:hint="eastAsia"/>
          <w:lang w:val="en-US" w:eastAsia="zh-CN"/>
        </w:rPr>
        <w:t>实际资源的经常项目；资产减少或负债增加的金融项目</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不涉及所有权转移，在服务贸易下；发生转移，在货物贸易下</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r>
        <w:rPr>
          <w:rFonts w:hint="default"/>
          <w:lang w:val="en-US" w:eastAsia="zh-CN"/>
        </w:rPr>
        <w:t>错误与遗漏项借方余额的可能原因：</w:t>
      </w:r>
    </w:p>
    <w:p>
      <w:pPr>
        <w:widowControl w:val="0"/>
        <w:numPr>
          <w:ilvl w:val="0"/>
          <w:numId w:val="2"/>
        </w:numPr>
        <w:ind w:left="420" w:leftChars="0" w:hanging="420" w:firstLineChars="0"/>
        <w:jc w:val="both"/>
        <w:rPr>
          <w:rFonts w:hint="default"/>
          <w:lang w:val="en-US" w:eastAsia="zh-CN"/>
        </w:rPr>
      </w:pPr>
      <w:r>
        <w:rPr>
          <w:rFonts w:hint="default"/>
          <w:lang w:val="en-US" w:eastAsia="zh-CN"/>
        </w:rPr>
        <w:t>高报低出（骗取出口退税）</w:t>
      </w:r>
    </w:p>
    <w:p>
      <w:pPr>
        <w:widowControl w:val="0"/>
        <w:numPr>
          <w:ilvl w:val="0"/>
          <w:numId w:val="2"/>
        </w:numPr>
        <w:ind w:left="420" w:leftChars="0" w:hanging="420" w:firstLineChars="0"/>
        <w:jc w:val="both"/>
        <w:rPr>
          <w:rFonts w:hint="default"/>
          <w:lang w:val="en-US" w:eastAsia="zh-CN"/>
        </w:rPr>
      </w:pPr>
      <w:r>
        <w:rPr>
          <w:rFonts w:hint="default"/>
          <w:lang w:val="en-US" w:eastAsia="zh-CN"/>
        </w:rPr>
        <w:t>低报高进（逃避进口关税）</w:t>
      </w:r>
    </w:p>
    <w:p>
      <w:pPr>
        <w:widowControl w:val="0"/>
        <w:numPr>
          <w:ilvl w:val="0"/>
          <w:numId w:val="2"/>
        </w:numPr>
        <w:ind w:left="420" w:leftChars="0" w:hanging="420" w:firstLineChars="0"/>
        <w:jc w:val="both"/>
        <w:rPr>
          <w:rFonts w:hint="default"/>
          <w:lang w:val="en-US" w:eastAsia="zh-CN"/>
        </w:rPr>
      </w:pPr>
      <w:r>
        <w:rPr>
          <w:rFonts w:hint="default"/>
          <w:lang w:val="en-US" w:eastAsia="zh-CN"/>
        </w:rPr>
        <w:t>外资或外债重复或假外资</w:t>
      </w:r>
    </w:p>
    <w:p>
      <w:pPr>
        <w:widowControl w:val="0"/>
        <w:numPr>
          <w:ilvl w:val="0"/>
          <w:numId w:val="2"/>
        </w:numPr>
        <w:ind w:left="420" w:leftChars="0" w:hanging="420" w:firstLineChars="0"/>
        <w:jc w:val="both"/>
        <w:rPr>
          <w:rFonts w:hint="default"/>
          <w:lang w:val="en-US" w:eastAsia="zh-CN"/>
        </w:rPr>
      </w:pPr>
      <w:r>
        <w:rPr>
          <w:rFonts w:hint="default"/>
          <w:lang w:val="en-US" w:eastAsia="zh-CN"/>
        </w:rPr>
        <w:t>数据估计不准（如旅游服务进口少估）</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资本外逃增加的标志：净误差与遗漏项持续为负且不断扩大</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国际收支巨额顺差/盈余（贷方</w:t>
      </w:r>
      <w:r>
        <w:rPr>
          <w:rFonts w:hint="default"/>
          <w:lang w:val="en-US" w:eastAsia="zh-CN"/>
        </w:rPr>
        <w:t>&gt;</w:t>
      </w:r>
      <w:r>
        <w:rPr>
          <w:rFonts w:hint="eastAsia"/>
          <w:lang w:val="en-US" w:eastAsia="zh-CN"/>
        </w:rPr>
        <w:t>借方）——</w:t>
      </w:r>
      <w:r>
        <w:rPr>
          <w:rFonts w:hint="default"/>
          <w:lang w:val="en-US" w:eastAsia="zh-CN"/>
        </w:rPr>
        <w:t>&gt;</w:t>
      </w:r>
      <w:r>
        <w:rPr>
          <w:rFonts w:hint="eastAsia"/>
          <w:lang w:val="en-US" w:eastAsia="zh-CN"/>
        </w:rPr>
        <w:t>货币坚挺，本币汇率升值</w:t>
      </w:r>
    </w:p>
    <w:p>
      <w:pPr>
        <w:widowControl w:val="0"/>
        <w:numPr>
          <w:ilvl w:val="0"/>
          <w:numId w:val="0"/>
        </w:numPr>
        <w:jc w:val="both"/>
        <w:rPr>
          <w:rFonts w:hint="eastAsia"/>
          <w:lang w:val="en-US" w:eastAsia="zh-CN"/>
        </w:rPr>
      </w:pPr>
      <w:r>
        <w:rPr>
          <w:rFonts w:hint="eastAsia"/>
          <w:lang w:val="en-US" w:eastAsia="zh-CN"/>
        </w:rPr>
        <w:t>国际收支逆差（贷方</w:t>
      </w:r>
      <w:r>
        <w:rPr>
          <w:rFonts w:hint="default"/>
          <w:lang w:val="en-US" w:eastAsia="zh-CN"/>
        </w:rPr>
        <w:t>&lt;</w:t>
      </w:r>
      <w:r>
        <w:rPr>
          <w:rFonts w:hint="eastAsia"/>
          <w:lang w:val="en-US" w:eastAsia="zh-CN"/>
        </w:rPr>
        <w:t>借方）｜对外汇供给⇩需求⇧</w:t>
      </w:r>
    </w:p>
    <w:p>
      <w:pPr>
        <w:widowControl w:val="0"/>
        <w:numPr>
          <w:ilvl w:val="0"/>
          <w:numId w:val="0"/>
        </w:numPr>
        <w:ind w:firstLine="2520" w:firstLineChars="1200"/>
        <w:jc w:val="both"/>
        <w:rPr>
          <w:rFonts w:hint="default"/>
          <w:lang w:val="en-US" w:eastAsia="zh-CN"/>
        </w:rPr>
      </w:pPr>
      <w:r>
        <w:rPr>
          <w:rFonts w:hint="eastAsia"/>
          <w:lang w:val="en-US" w:eastAsia="zh-CN"/>
        </w:rPr>
        <w:t>⟾外汇储备减少or官方短期债务增加⟾本币汇率下跌</w:t>
      </w:r>
    </w:p>
    <w:p>
      <w:pPr>
        <w:widowControl w:val="0"/>
        <w:numPr>
          <w:ilvl w:val="0"/>
          <w:numId w:val="0"/>
        </w:numPr>
        <w:jc w:val="both"/>
        <w:rPr>
          <w:rFonts w:hint="default"/>
          <w:lang w:val="en-US" w:eastAsia="zh-CN"/>
        </w:rPr>
      </w:pPr>
    </w:p>
    <w:p>
      <w:pPr>
        <w:numPr>
          <w:ilvl w:val="0"/>
          <w:numId w:val="3"/>
        </w:numPr>
        <w:rPr>
          <w:rFonts w:hint="eastAsia"/>
          <w:b/>
          <w:bCs/>
          <w:i/>
          <w:iCs/>
          <w:sz w:val="22"/>
          <w:szCs w:val="28"/>
          <w:lang w:val="en-US" w:eastAsia="zh-CN"/>
        </w:rPr>
      </w:pPr>
      <w:r>
        <w:rPr>
          <w:rFonts w:hint="eastAsia"/>
          <w:b/>
          <w:bCs/>
          <w:i/>
          <w:iCs/>
          <w:sz w:val="22"/>
          <w:szCs w:val="28"/>
          <w:lang w:val="en-US" w:eastAsia="zh-CN"/>
        </w:rPr>
        <w:t>第四节 国际投资头寸表</w:t>
      </w:r>
    </w:p>
    <w:p>
      <w:pPr>
        <w:widowControl w:val="0"/>
        <w:numPr>
          <w:ilvl w:val="0"/>
          <w:numId w:val="0"/>
        </w:numPr>
        <w:jc w:val="both"/>
        <w:rPr>
          <w:rFonts w:hint="default"/>
          <w:lang w:val="en-US" w:eastAsia="zh-CN"/>
        </w:rPr>
      </w:pPr>
      <w:r>
        <w:rPr>
          <w:rFonts w:hint="default"/>
          <w:lang w:val="en-US" w:eastAsia="zh-CN"/>
        </w:rPr>
        <w:t>相当于企业的资产负债表，反映的是一国的对外资产负债</w:t>
      </w:r>
      <w:r>
        <w:rPr>
          <w:rFonts w:hint="default"/>
          <w:b/>
          <w:bCs/>
          <w:u w:val="single"/>
          <w:lang w:val="en-US" w:eastAsia="zh-CN"/>
        </w:rPr>
        <w:t>存量</w:t>
      </w:r>
      <w:r>
        <w:rPr>
          <w:rFonts w:hint="default"/>
          <w:lang w:val="en-US" w:eastAsia="zh-CN"/>
        </w:rPr>
        <w:t>状况</w:t>
      </w:r>
      <w:r>
        <w:rPr>
          <w:rFonts w:hint="eastAsia"/>
          <w:lang w:val="en-US" w:eastAsia="zh-CN"/>
        </w:rPr>
        <w:t>，按</w:t>
      </w:r>
      <w:r>
        <w:rPr>
          <w:rFonts w:hint="eastAsia"/>
          <w:b/>
          <w:bCs/>
          <w:lang w:val="en-US" w:eastAsia="zh-CN"/>
        </w:rPr>
        <w:t>某一时点</w:t>
      </w:r>
      <w:r>
        <w:rPr>
          <w:rFonts w:hint="eastAsia"/>
          <w:lang w:val="en-US" w:eastAsia="zh-CN"/>
        </w:rPr>
        <w:t>的汇率来算</w:t>
      </w:r>
    </w:p>
    <w:p>
      <w:pPr>
        <w:widowControl w:val="0"/>
        <w:numPr>
          <w:ilvl w:val="0"/>
          <w:numId w:val="0"/>
        </w:numPr>
        <w:jc w:val="both"/>
        <w:rPr>
          <w:rFonts w:hint="eastAsia"/>
          <w:lang w:val="en-US" w:eastAsia="zh-CN"/>
        </w:rPr>
      </w:pPr>
      <w:r>
        <w:rPr>
          <w:rFonts w:hint="eastAsia"/>
          <w:lang w:val="en-US" w:eastAsia="zh-CN"/>
        </w:rPr>
        <w:t>净头寸=资产-负债</w:t>
      </w:r>
    </w:p>
    <w:p>
      <w:pPr>
        <w:widowControl w:val="0"/>
        <w:numPr>
          <w:ilvl w:val="0"/>
          <w:numId w:val="0"/>
        </w:numPr>
        <w:jc w:val="both"/>
        <w:rPr>
          <w:rFonts w:hint="eastAsia"/>
          <w:b/>
          <w:bCs/>
          <w:sz w:val="20"/>
          <w:szCs w:val="22"/>
          <w:lang w:val="en-US" w:eastAsia="zh-CN"/>
        </w:rPr>
      </w:pPr>
      <w:r>
        <w:rPr>
          <w:rFonts w:hint="eastAsia"/>
          <w:b/>
          <w:bCs/>
          <w:sz w:val="20"/>
          <w:szCs w:val="22"/>
          <w:lang w:val="en-US" w:eastAsia="zh-CN"/>
        </w:rPr>
        <w:t>期末值=期初值</w:t>
      </w:r>
    </w:p>
    <w:p>
      <w:pPr>
        <w:widowControl w:val="0"/>
        <w:numPr>
          <w:ilvl w:val="0"/>
          <w:numId w:val="0"/>
        </w:numPr>
        <w:ind w:firstLine="601" w:firstLineChars="300"/>
        <w:jc w:val="both"/>
        <w:rPr>
          <w:rFonts w:hint="eastAsia"/>
          <w:b/>
          <w:bCs/>
          <w:sz w:val="20"/>
          <w:szCs w:val="22"/>
          <w:lang w:val="en-US" w:eastAsia="zh-CN"/>
        </w:rPr>
      </w:pPr>
      <w:r>
        <w:rPr>
          <w:rFonts w:hint="eastAsia"/>
          <w:b/>
          <w:bCs/>
          <w:sz w:val="20"/>
          <w:szCs w:val="22"/>
          <w:lang w:val="en-US" w:eastAsia="zh-CN"/>
        </w:rPr>
        <w:t>+本期交易（国际收支金融账户）</w:t>
      </w:r>
    </w:p>
    <w:p>
      <w:pPr>
        <w:widowControl w:val="0"/>
        <w:numPr>
          <w:ilvl w:val="0"/>
          <w:numId w:val="0"/>
        </w:numPr>
        <w:ind w:firstLine="601" w:firstLineChars="300"/>
        <w:jc w:val="both"/>
        <w:rPr>
          <w:rFonts w:hint="eastAsia"/>
          <w:lang w:val="en-US" w:eastAsia="zh-CN"/>
        </w:rPr>
      </w:pPr>
      <w:r>
        <w:rPr>
          <w:rFonts w:hint="eastAsia"/>
          <w:b/>
          <w:bCs/>
          <w:sz w:val="20"/>
          <w:szCs w:val="22"/>
          <w:lang w:val="en-US" w:eastAsia="zh-CN"/>
        </w:rPr>
        <w:t>+本期金融资产和负债的其他变化（汇率、价格等）</w:t>
      </w:r>
    </w:p>
    <w:p>
      <w:pPr>
        <w:widowControl w:val="0"/>
        <w:numPr>
          <w:ilvl w:val="0"/>
          <w:numId w:val="0"/>
        </w:numPr>
        <w:jc w:val="both"/>
        <w:rPr>
          <w:rFonts w:hint="default"/>
          <w:lang w:val="en-US" w:eastAsia="zh-CN"/>
        </w:rPr>
      </w:pPr>
      <w:r>
        <w:rPr>
          <w:rFonts w:hint="eastAsia"/>
          <w:lang w:val="en-US" w:eastAsia="zh-CN"/>
        </w:rPr>
        <w:t>国际收支失衡的原因：</w:t>
      </w:r>
    </w:p>
    <w:p>
      <w:pPr>
        <w:widowControl w:val="0"/>
        <w:numPr>
          <w:ilvl w:val="0"/>
          <w:numId w:val="4"/>
        </w:numPr>
        <w:ind w:left="420" w:leftChars="0" w:hanging="420" w:firstLineChars="0"/>
        <w:jc w:val="both"/>
        <w:rPr>
          <w:rFonts w:hint="eastAsia"/>
          <w:lang w:val="en-US" w:eastAsia="zh-CN"/>
        </w:rPr>
      </w:pPr>
      <w:r>
        <w:rPr>
          <w:rFonts w:hint="eastAsia"/>
          <w:lang w:val="en-US" w:eastAsia="zh-CN"/>
        </w:rPr>
        <w:t>偶发性因素（偶发性失衡）</w:t>
      </w:r>
    </w:p>
    <w:p>
      <w:pPr>
        <w:widowControl w:val="0"/>
        <w:numPr>
          <w:ilvl w:val="0"/>
          <w:numId w:val="4"/>
        </w:numPr>
        <w:ind w:left="420" w:leftChars="0" w:hanging="420" w:firstLineChars="0"/>
        <w:jc w:val="both"/>
        <w:rPr>
          <w:rFonts w:hint="eastAsia"/>
          <w:lang w:val="en-US" w:eastAsia="zh-CN"/>
        </w:rPr>
      </w:pPr>
      <w:r>
        <w:rPr>
          <w:rFonts w:hint="eastAsia"/>
          <w:lang w:val="en-US" w:eastAsia="zh-CN"/>
        </w:rPr>
        <w:t>周期性因素（周期性失衡）</w:t>
      </w:r>
    </w:p>
    <w:p>
      <w:pPr>
        <w:widowControl w:val="0"/>
        <w:numPr>
          <w:ilvl w:val="0"/>
          <w:numId w:val="4"/>
        </w:numPr>
        <w:ind w:left="420" w:leftChars="0" w:hanging="420" w:firstLineChars="0"/>
        <w:jc w:val="both"/>
        <w:rPr>
          <w:rFonts w:hint="eastAsia"/>
          <w:lang w:val="en-US" w:eastAsia="zh-CN"/>
        </w:rPr>
      </w:pPr>
      <w:r>
        <w:rPr>
          <w:rFonts w:hint="eastAsia"/>
          <w:b/>
          <w:bCs/>
          <w:lang w:val="en-US" w:eastAsia="zh-CN"/>
        </w:rPr>
        <w:t>结构性因素（结构性失衡）——经济不发达的主要因素</w:t>
      </w:r>
    </w:p>
    <w:p>
      <w:pPr>
        <w:widowControl w:val="0"/>
        <w:numPr>
          <w:ilvl w:val="0"/>
          <w:numId w:val="4"/>
        </w:numPr>
        <w:ind w:left="420" w:leftChars="0" w:hanging="420" w:firstLineChars="0"/>
        <w:jc w:val="both"/>
        <w:rPr>
          <w:rFonts w:hint="eastAsia"/>
          <w:lang w:val="en-US" w:eastAsia="zh-CN"/>
        </w:rPr>
      </w:pPr>
      <w:r>
        <w:rPr>
          <w:rFonts w:hint="eastAsia"/>
          <w:lang w:val="en-US" w:eastAsia="zh-CN"/>
        </w:rPr>
        <w:t>货币性因素（货币性失衡）</w:t>
      </w:r>
    </w:p>
    <w:p>
      <w:pPr>
        <w:widowControl w:val="0"/>
        <w:numPr>
          <w:ilvl w:val="0"/>
          <w:numId w:val="4"/>
        </w:numPr>
        <w:ind w:left="420" w:leftChars="0" w:hanging="420" w:firstLineChars="0"/>
        <w:jc w:val="both"/>
        <w:rPr>
          <w:rFonts w:hint="eastAsia"/>
          <w:lang w:val="en-US" w:eastAsia="zh-CN"/>
        </w:rPr>
      </w:pPr>
      <w:r>
        <w:rPr>
          <w:rFonts w:hint="eastAsia"/>
          <w:lang w:val="en-US" w:eastAsia="zh-CN"/>
        </w:rPr>
        <w:t>外汇投机和不稳定的国际资本流动</w:t>
      </w:r>
    </w:p>
    <w:p>
      <w:pPr>
        <w:widowControl w:val="0"/>
        <w:numPr>
          <w:ilvl w:val="0"/>
          <w:numId w:val="0"/>
        </w:numPr>
        <w:jc w:val="both"/>
        <w:rPr>
          <w:rFonts w:hint="eastAsia"/>
          <w:lang w:val="en-US" w:eastAsia="zh-CN"/>
        </w:rPr>
      </w:pPr>
    </w:p>
    <w:p>
      <w:pPr>
        <w:widowControl w:val="0"/>
        <w:numPr>
          <w:ilvl w:val="0"/>
          <w:numId w:val="0"/>
        </w:numPr>
        <w:jc w:val="both"/>
        <w:rPr>
          <w:rFonts w:hint="default"/>
          <w:b/>
          <w:bCs/>
          <w:highlight w:val="yellow"/>
          <w:lang w:val="en-US" w:eastAsia="zh-CN"/>
        </w:rPr>
      </w:pPr>
      <w:r>
        <w:rPr>
          <w:rFonts w:hint="eastAsia"/>
          <w:b/>
          <w:bCs/>
          <w:highlight w:val="yellow"/>
          <w:lang w:val="en-US" w:eastAsia="zh-CN"/>
        </w:rPr>
        <w:t>国际收支失衡的</w:t>
      </w:r>
      <w:r>
        <w:rPr>
          <w:rFonts w:hint="eastAsia"/>
          <w:b/>
          <w:bCs/>
          <w:i/>
          <w:iCs/>
          <w:highlight w:val="yellow"/>
          <w:u w:val="single"/>
          <w:lang w:val="en-US" w:eastAsia="zh-CN"/>
        </w:rPr>
        <w:t>自动调节机制【简答】</w:t>
      </w:r>
    </w:p>
    <w:p>
      <w:pPr>
        <w:widowControl w:val="0"/>
        <w:numPr>
          <w:ilvl w:val="0"/>
          <w:numId w:val="5"/>
        </w:numPr>
        <w:ind w:left="425" w:leftChars="0" w:hanging="425" w:firstLineChars="0"/>
        <w:jc w:val="both"/>
        <w:rPr>
          <w:rFonts w:hint="eastAsia"/>
          <w:lang w:val="en-US" w:eastAsia="zh-CN"/>
        </w:rPr>
      </w:pPr>
      <w:r>
        <w:rPr>
          <w:rFonts w:hint="eastAsia"/>
          <w:lang w:val="en-US" w:eastAsia="zh-CN"/>
        </w:rPr>
        <w:t>国际</w:t>
      </w:r>
      <w:r>
        <w:rPr>
          <w:rFonts w:hint="eastAsia"/>
          <w:b/>
          <w:bCs/>
          <w:lang w:val="en-US" w:eastAsia="zh-CN"/>
        </w:rPr>
        <w:t>金本位</w:t>
      </w:r>
      <w:r>
        <w:rPr>
          <w:rFonts w:hint="eastAsia"/>
          <w:lang w:val="en-US" w:eastAsia="zh-CN"/>
        </w:rPr>
        <w:t>制度下的国际收支自动调节机制</w:t>
      </w:r>
      <w:r>
        <w:rPr>
          <w:rFonts w:hint="eastAsia"/>
          <w:lang w:val="en-US" w:eastAsia="zh-CN"/>
        </w:rPr>
        <w:br w:type="textWrapping"/>
      </w:r>
      <w:r>
        <w:rPr>
          <w:rFonts w:hint="eastAsia"/>
          <w:lang w:val="en-US" w:eastAsia="zh-CN"/>
        </w:rPr>
        <w:t>（大卫﹒休谟的价格－铸币流动机制）</w:t>
      </w:r>
    </w:p>
    <w:p>
      <w:pPr>
        <w:widowControl w:val="0"/>
        <w:numPr>
          <w:ilvl w:val="0"/>
          <w:numId w:val="0"/>
        </w:numPr>
        <w:ind w:leftChars="0"/>
        <w:jc w:val="both"/>
        <w:rPr>
          <w:rFonts w:hint="default"/>
          <w:b w:val="0"/>
          <w:bCs w:val="0"/>
          <w:sz w:val="18"/>
          <w:szCs w:val="21"/>
          <w:lang w:val="en-US" w:eastAsia="zh-CN"/>
        </w:rPr>
      </w:pPr>
      <w:r>
        <w:rPr>
          <w:rFonts w:hint="eastAsia"/>
          <w:b w:val="0"/>
          <w:bCs w:val="0"/>
          <w:sz w:val="18"/>
          <w:szCs w:val="21"/>
          <w:lang w:val="en-US" w:eastAsia="zh-CN"/>
        </w:rPr>
        <w:t>黄金外流：货币供给下降，价格下降，出口+进口- ，国际收支盈余，黄金内流</w:t>
      </w:r>
    </w:p>
    <w:p>
      <w:pPr>
        <w:widowControl w:val="0"/>
        <w:numPr>
          <w:ilvl w:val="0"/>
          <w:numId w:val="5"/>
        </w:numPr>
        <w:ind w:left="425" w:leftChars="0" w:hanging="425" w:firstLineChars="0"/>
        <w:jc w:val="both"/>
        <w:rPr>
          <w:rFonts w:hint="eastAsia"/>
          <w:lang w:val="en-US" w:eastAsia="zh-CN"/>
        </w:rPr>
      </w:pPr>
      <w:r>
        <w:rPr>
          <w:rFonts w:hint="eastAsia"/>
          <w:lang w:val="en-US" w:eastAsia="zh-CN"/>
        </w:rPr>
        <w:t>纸币本位的固定汇率制度下的国际收支自动调节机制</w:t>
      </w:r>
    </w:p>
    <w:p>
      <w:pPr>
        <w:widowControl w:val="0"/>
        <w:numPr>
          <w:ilvl w:val="0"/>
          <w:numId w:val="0"/>
        </w:numPr>
        <w:jc w:val="both"/>
        <w:rPr>
          <w:rFonts w:hint="default"/>
          <w:lang w:val="en-US" w:eastAsia="zh-CN"/>
        </w:rPr>
      </w:pPr>
      <w:r>
        <w:rPr>
          <w:rFonts w:hint="eastAsia"/>
          <w:b w:val="0"/>
          <w:bCs w:val="0"/>
          <w:sz w:val="18"/>
          <w:szCs w:val="21"/>
          <w:lang w:val="en-US" w:eastAsia="zh-CN"/>
        </w:rPr>
        <w:t>赤字：</w:t>
      </w:r>
      <w:r>
        <w:rPr>
          <w:rFonts w:hint="eastAsia"/>
          <w:b/>
          <w:bCs/>
          <w:sz w:val="18"/>
          <w:szCs w:val="21"/>
          <w:lang w:val="en-US" w:eastAsia="zh-CN"/>
        </w:rPr>
        <w:t>外汇储备</w:t>
      </w:r>
      <w:r>
        <w:rPr>
          <w:rFonts w:hint="eastAsia"/>
          <w:b w:val="0"/>
          <w:bCs w:val="0"/>
          <w:sz w:val="18"/>
          <w:szCs w:val="21"/>
          <w:lang w:val="en-US" w:eastAsia="zh-CN"/>
        </w:rPr>
        <w:t>- ，货币供给- ，利息率+，国内支出-，工资物价-，出口+进口-，改善经常账户收支</w:t>
      </w:r>
    </w:p>
    <w:p>
      <w:pPr>
        <w:widowControl w:val="0"/>
        <w:numPr>
          <w:ilvl w:val="0"/>
          <w:numId w:val="5"/>
        </w:numPr>
        <w:ind w:left="425" w:leftChars="0" w:hanging="425" w:firstLineChars="0"/>
        <w:jc w:val="both"/>
        <w:rPr>
          <w:rFonts w:hint="eastAsia"/>
          <w:lang w:val="en-US" w:eastAsia="zh-CN"/>
        </w:rPr>
      </w:pPr>
      <w:r>
        <w:rPr>
          <w:rFonts w:hint="eastAsia"/>
          <w:lang w:val="en-US" w:eastAsia="zh-CN"/>
        </w:rPr>
        <w:t>浮动汇率制度下的国际收支自动调整机制</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b/>
          <w:bCs/>
          <w:u w:val="single"/>
          <w:lang w:val="en-US" w:eastAsia="zh-CN"/>
        </w:rPr>
        <w:t>需要政策调节的理由主要是：</w:t>
      </w:r>
    </w:p>
    <w:p>
      <w:pPr>
        <w:widowControl w:val="0"/>
        <w:numPr>
          <w:ilvl w:val="0"/>
          <w:numId w:val="6"/>
        </w:numPr>
        <w:ind w:left="420" w:leftChars="0" w:hanging="420" w:firstLineChars="0"/>
        <w:jc w:val="both"/>
        <w:rPr>
          <w:rFonts w:hint="eastAsia"/>
          <w:lang w:val="en-US" w:eastAsia="zh-CN"/>
        </w:rPr>
      </w:pPr>
      <w:r>
        <w:rPr>
          <w:rFonts w:hint="eastAsia"/>
          <w:lang w:val="en-US" w:eastAsia="zh-CN"/>
        </w:rPr>
        <w:t>自发调节过程可能需要牺牲国内其他宏观经济目标</w:t>
      </w:r>
    </w:p>
    <w:p>
      <w:pPr>
        <w:widowControl w:val="0"/>
        <w:numPr>
          <w:ilvl w:val="0"/>
          <w:numId w:val="6"/>
        </w:numPr>
        <w:ind w:left="420" w:leftChars="0" w:hanging="420" w:firstLineChars="0"/>
        <w:jc w:val="both"/>
        <w:rPr>
          <w:rFonts w:hint="eastAsia"/>
          <w:lang w:val="en-US" w:eastAsia="zh-CN"/>
        </w:rPr>
      </w:pPr>
      <w:r>
        <w:rPr>
          <w:rFonts w:hint="eastAsia"/>
          <w:lang w:val="en-US" w:eastAsia="zh-CN"/>
        </w:rPr>
        <w:t>自发调节需要一些难以实现的客观经济环境</w:t>
      </w:r>
    </w:p>
    <w:p>
      <w:pPr>
        <w:widowControl w:val="0"/>
        <w:numPr>
          <w:ilvl w:val="0"/>
          <w:numId w:val="6"/>
        </w:numPr>
        <w:ind w:left="420" w:leftChars="0" w:hanging="420" w:firstLineChars="0"/>
        <w:jc w:val="both"/>
        <w:rPr>
          <w:rFonts w:hint="eastAsia"/>
          <w:lang w:val="en-US" w:eastAsia="zh-CN"/>
        </w:rPr>
      </w:pPr>
      <w:r>
        <w:rPr>
          <w:rFonts w:hint="eastAsia"/>
          <w:lang w:val="en-US" w:eastAsia="zh-CN"/>
        </w:rPr>
        <w:t>自动恢复均衡所需过程可能相当漫长</w:t>
      </w:r>
    </w:p>
    <w:p>
      <w:pPr>
        <w:widowControl w:val="0"/>
        <w:numPr>
          <w:ilvl w:val="0"/>
          <w:numId w:val="0"/>
        </w:numPr>
        <w:jc w:val="both"/>
        <w:rPr>
          <w:rFonts w:hint="eastAsia"/>
          <w:lang w:val="en-US" w:eastAsia="zh-CN"/>
        </w:rPr>
      </w:pPr>
    </w:p>
    <w:p>
      <w:pPr>
        <w:widowControl w:val="0"/>
        <w:numPr>
          <w:ilvl w:val="0"/>
          <w:numId w:val="0"/>
        </w:numPr>
        <w:jc w:val="both"/>
        <w:rPr>
          <w:rFonts w:hint="default"/>
          <w:b/>
          <w:bCs/>
          <w:highlight w:val="yellow"/>
          <w:lang w:val="en-US" w:eastAsia="zh-CN"/>
        </w:rPr>
      </w:pPr>
      <w:r>
        <w:rPr>
          <w:rFonts w:hint="eastAsia"/>
          <w:b/>
          <w:bCs/>
          <w:highlight w:val="yellow"/>
          <w:lang w:val="en-US" w:eastAsia="zh-CN"/>
        </w:rPr>
        <w:t>国际收支失衡to实现内外均衡的</w:t>
      </w:r>
      <w:r>
        <w:rPr>
          <w:rFonts w:hint="eastAsia"/>
          <w:b/>
          <w:bCs/>
          <w:i/>
          <w:iCs/>
          <w:highlight w:val="yellow"/>
          <w:u w:val="single"/>
          <w:lang w:val="en-US" w:eastAsia="zh-CN"/>
        </w:rPr>
        <w:t>政策调节机制【简答】</w:t>
      </w:r>
      <w:r>
        <w:rPr>
          <w:rFonts w:hint="eastAsia"/>
          <w:b/>
          <w:bCs/>
          <w:color w:val="0000FF"/>
          <w:u w:val="single"/>
          <w:lang w:val="en-US" w:eastAsia="zh-CN"/>
        </w:rPr>
        <w:t>（主要）</w:t>
      </w:r>
    </w:p>
    <w:p>
      <w:pPr>
        <w:widowControl w:val="0"/>
        <w:numPr>
          <w:ilvl w:val="0"/>
          <w:numId w:val="7"/>
        </w:numPr>
        <w:ind w:left="425" w:leftChars="0" w:hanging="425" w:firstLineChars="0"/>
        <w:jc w:val="both"/>
        <w:rPr>
          <w:rFonts w:hint="eastAsia"/>
          <w:lang w:val="en-US" w:eastAsia="zh-CN"/>
        </w:rPr>
      </w:pPr>
      <w:r>
        <w:rPr>
          <w:sz w:val="21"/>
        </w:rPr>
        <mc:AlternateContent>
          <mc:Choice Requires="wps">
            <w:drawing>
              <wp:anchor distT="0" distB="0" distL="114300" distR="114300" simplePos="0" relativeHeight="251673600" behindDoc="0" locked="0" layoutInCell="1" allowOverlap="1">
                <wp:simplePos x="0" y="0"/>
                <wp:positionH relativeFrom="column">
                  <wp:posOffset>4053840</wp:posOffset>
                </wp:positionH>
                <wp:positionV relativeFrom="paragraph">
                  <wp:posOffset>140970</wp:posOffset>
                </wp:positionV>
                <wp:extent cx="2040890" cy="914400"/>
                <wp:effectExtent l="6350" t="6350" r="10160" b="19050"/>
                <wp:wrapNone/>
                <wp:docPr id="18" name="文本框 18"/>
                <wp:cNvGraphicFramePr/>
                <a:graphic xmlns:a="http://schemas.openxmlformats.org/drawingml/2006/main">
                  <a:graphicData uri="http://schemas.microsoft.com/office/word/2010/wordprocessingShape">
                    <wps:wsp>
                      <wps:cNvSpPr txBox="1"/>
                      <wps:spPr>
                        <a:xfrm>
                          <a:off x="5424170" y="7707630"/>
                          <a:ext cx="2040890" cy="914400"/>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r>
                              <w:rPr>
                                <w:rFonts w:hint="eastAsia"/>
                                <w:lang w:val="en-US" w:eastAsia="zh-CN"/>
                              </w:rPr>
                              <w:t>政策搭配</w:t>
                            </w:r>
                          </w:p>
                          <w:p>
                            <w:pPr>
                              <w:rPr>
                                <w:rFonts w:hint="eastAsia"/>
                                <w:lang w:val="en-US" w:eastAsia="zh-CN"/>
                              </w:rPr>
                            </w:pPr>
                            <w:r>
                              <w:rPr>
                                <w:rFonts w:hint="eastAsia"/>
                                <w:lang w:val="en-US" w:eastAsia="zh-CN"/>
                              </w:rPr>
                              <w:t>·支出增减型+支出转移型</w:t>
                            </w:r>
                          </w:p>
                          <w:p>
                            <w:pPr>
                              <w:rPr>
                                <w:rFonts w:hint="eastAsia"/>
                                <w:lang w:val="en-US" w:eastAsia="zh-CN"/>
                              </w:rPr>
                            </w:pPr>
                            <w:r>
                              <w:rPr>
                                <w:rFonts w:hint="eastAsia"/>
                                <w:lang w:val="en-US" w:eastAsia="zh-CN"/>
                              </w:rPr>
                              <w:t>·支出型+融资型</w:t>
                            </w:r>
                          </w:p>
                          <w:p>
                            <w:pPr>
                              <w:rPr>
                                <w:rFonts w:hint="default"/>
                                <w:lang w:val="en-US" w:eastAsia="zh-CN"/>
                              </w:rPr>
                            </w:pPr>
                            <w:r>
                              <w:rPr>
                                <w:rFonts w:hint="eastAsia"/>
                                <w:lang w:val="en-US" w:eastAsia="zh-CN"/>
                              </w:rPr>
                              <w:t>·支出增减型+供给型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9.2pt;margin-top:11.1pt;height:72pt;width:160.7pt;z-index:251673600;mso-width-relative:page;mso-height-relative:page;" fillcolor="#FFFFFF [3201]" filled="t" stroked="t" coordsize="21600,21600" o:gfxdata="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FgAAAGRycy9QSwECFAAUAAAACACHTuJA5O/hVNYAAAAKAQAADwAAAAAAAAABACAAAAA4AAAAZHJz&#10;L2Rvd25yZXYueG1sUEsBAhQAFAAAAAgAh07iQKFKLB5iAgAAxgQAAA4AAAAAAAAAAQAgAAAAOwEA&#10;AGRycy9lMm9Eb2MueG1sUEsFBgAAAAAGAAYAWQEAAA8GAAAAAA==&#10;">
                <v:fill on="t" focussize="0,0"/>
                <v:stroke weight="0.5pt" color="#000000 [3213]" joinstyle="round"/>
                <v:imagedata o:title=""/>
                <o:lock v:ext="edit" aspectratio="f"/>
                <v:textbox>
                  <w:txbxContent>
                    <w:p>
                      <w:pPr>
                        <w:rPr>
                          <w:rFonts w:hint="eastAsia"/>
                          <w:lang w:val="en-US" w:eastAsia="zh-CN"/>
                        </w:rPr>
                      </w:pPr>
                      <w:r>
                        <w:rPr>
                          <w:rFonts w:hint="eastAsia"/>
                          <w:lang w:val="en-US" w:eastAsia="zh-CN"/>
                        </w:rPr>
                        <w:t>政策搭配</w:t>
                      </w:r>
                    </w:p>
                    <w:p>
                      <w:pPr>
                        <w:rPr>
                          <w:rFonts w:hint="eastAsia"/>
                          <w:lang w:val="en-US" w:eastAsia="zh-CN"/>
                        </w:rPr>
                      </w:pPr>
                      <w:r>
                        <w:rPr>
                          <w:rFonts w:hint="eastAsia"/>
                          <w:lang w:val="en-US" w:eastAsia="zh-CN"/>
                        </w:rPr>
                        <w:t>·支出增减型+支出转移型</w:t>
                      </w:r>
                    </w:p>
                    <w:p>
                      <w:pPr>
                        <w:rPr>
                          <w:rFonts w:hint="eastAsia"/>
                          <w:lang w:val="en-US" w:eastAsia="zh-CN"/>
                        </w:rPr>
                      </w:pPr>
                      <w:r>
                        <w:rPr>
                          <w:rFonts w:hint="eastAsia"/>
                          <w:lang w:val="en-US" w:eastAsia="zh-CN"/>
                        </w:rPr>
                        <w:t>·支出型+融资型</w:t>
                      </w:r>
                    </w:p>
                    <w:p>
                      <w:pPr>
                        <w:rPr>
                          <w:rFonts w:hint="default"/>
                          <w:lang w:val="en-US" w:eastAsia="zh-CN"/>
                        </w:rPr>
                      </w:pPr>
                      <w:r>
                        <w:rPr>
                          <w:rFonts w:hint="eastAsia"/>
                          <w:lang w:val="en-US" w:eastAsia="zh-CN"/>
                        </w:rPr>
                        <w:t>·支出增减型+供给型</w:t>
                      </w:r>
                    </w:p>
                  </w:txbxContent>
                </v:textbox>
              </v:shape>
            </w:pict>
          </mc:Fallback>
        </mc:AlternateContent>
      </w:r>
      <w:r>
        <w:rPr>
          <w:rFonts w:hint="eastAsia"/>
          <w:lang w:val="en-US" w:eastAsia="zh-CN"/>
        </w:rPr>
        <w:t>外汇缓冲政策</w:t>
      </w:r>
    </w:p>
    <w:p>
      <w:pPr>
        <w:widowControl w:val="0"/>
        <w:numPr>
          <w:ilvl w:val="0"/>
          <w:numId w:val="8"/>
        </w:numPr>
        <w:ind w:left="-210" w:leftChars="0" w:firstLine="420" w:firstLineChars="0"/>
        <w:jc w:val="both"/>
        <w:rPr>
          <w:rFonts w:hint="eastAsia"/>
          <w:lang w:val="en-US" w:eastAsia="zh-CN"/>
        </w:rPr>
      </w:pPr>
      <w:r>
        <w:rPr>
          <w:rFonts w:hint="eastAsia"/>
          <w:b/>
          <w:bCs/>
          <w:lang w:val="en-US" w:eastAsia="zh-CN"/>
        </w:rPr>
        <w:t>融资政策（常用：国际信贷、官方储备）</w:t>
      </w:r>
    </w:p>
    <w:p>
      <w:pPr>
        <w:widowControl w:val="0"/>
        <w:numPr>
          <w:ilvl w:val="0"/>
          <w:numId w:val="8"/>
        </w:numPr>
        <w:ind w:left="-210" w:leftChars="0" w:firstLine="420" w:firstLineChars="0"/>
        <w:jc w:val="both"/>
        <w:rPr>
          <w:rFonts w:hint="eastAsia"/>
          <w:lang w:val="en-US" w:eastAsia="zh-CN"/>
        </w:rPr>
      </w:pPr>
      <w:r>
        <w:rPr>
          <w:rFonts w:hint="eastAsia"/>
          <w:lang w:val="en-US" w:eastAsia="zh-CN"/>
        </w:rPr>
        <w:t>弥补政策</w:t>
      </w:r>
    </w:p>
    <w:p>
      <w:pPr>
        <w:widowControl w:val="0"/>
        <w:numPr>
          <w:ilvl w:val="0"/>
          <w:numId w:val="7"/>
        </w:numPr>
        <w:ind w:left="425" w:leftChars="0" w:hanging="425" w:firstLineChars="0"/>
        <w:jc w:val="both"/>
        <w:rPr>
          <w:rFonts w:hint="eastAsia"/>
          <w:lang w:val="en-US" w:eastAsia="zh-CN"/>
        </w:rPr>
      </w:pPr>
      <w:r>
        <w:rPr>
          <w:rFonts w:hint="eastAsia"/>
          <w:lang w:val="en-US" w:eastAsia="zh-CN"/>
        </w:rPr>
        <w:t>需求管理政策（改变总需求/总支出水平）</w:t>
      </w:r>
    </w:p>
    <w:p>
      <w:pPr>
        <w:widowControl w:val="0"/>
        <w:numPr>
          <w:ilvl w:val="0"/>
          <w:numId w:val="0"/>
        </w:numPr>
        <w:ind w:left="210" w:leftChars="0"/>
        <w:jc w:val="both"/>
        <w:rPr>
          <w:rFonts w:hint="default"/>
          <w:color w:val="auto"/>
          <w:lang w:val="en-US" w:eastAsia="zh-CN"/>
        </w:rPr>
      </w:pPr>
      <w:r>
        <w:rPr>
          <w:rFonts w:hint="eastAsia"/>
          <w:b/>
          <w:bCs/>
          <w:color w:val="0000FF"/>
          <w:u w:val="single"/>
          <w:lang w:val="en-US" w:eastAsia="zh-CN"/>
        </w:rPr>
        <w:t>支出增减型政策</w:t>
      </w:r>
      <w:r>
        <w:rPr>
          <w:rFonts w:hint="default"/>
          <w:b/>
          <w:bCs/>
          <w:color w:val="0000FF"/>
          <w:u w:val="single"/>
          <w:lang w:val="en-US" w:eastAsia="zh-CN"/>
        </w:rPr>
        <w:t>[</w:t>
      </w:r>
      <w:r>
        <w:rPr>
          <w:rFonts w:hint="eastAsia"/>
          <w:b/>
          <w:bCs/>
          <w:color w:val="0000FF"/>
          <w:u w:val="single"/>
          <w:lang w:val="en-US" w:eastAsia="zh-CN"/>
        </w:rPr>
        <w:t>短期</w:t>
      </w:r>
      <w:r>
        <w:rPr>
          <w:rFonts w:hint="default"/>
          <w:b/>
          <w:bCs/>
          <w:color w:val="0000FF"/>
          <w:u w:val="single"/>
          <w:lang w:val="en-US" w:eastAsia="zh-CN"/>
        </w:rPr>
        <w:t>]</w:t>
      </w:r>
      <w:r>
        <w:rPr>
          <w:rFonts w:hint="eastAsia"/>
          <w:color w:val="0000FF"/>
          <w:u w:val="single"/>
          <w:lang w:val="en-US" w:eastAsia="zh-CN"/>
        </w:rPr>
        <w:t>：财政政策、货币政策</w:t>
      </w:r>
    </w:p>
    <w:p>
      <w:pPr>
        <w:widowControl w:val="0"/>
        <w:numPr>
          <w:ilvl w:val="0"/>
          <w:numId w:val="7"/>
        </w:numPr>
        <w:ind w:left="425" w:leftChars="0" w:hanging="425" w:firstLineChars="0"/>
        <w:jc w:val="both"/>
        <w:rPr>
          <w:rFonts w:hint="eastAsia"/>
          <w:lang w:val="en-US" w:eastAsia="zh-CN"/>
        </w:rPr>
      </w:pPr>
      <w:r>
        <w:rPr>
          <w:rFonts w:hint="eastAsia"/>
          <w:b/>
          <w:bCs/>
          <w:lang w:val="en-US" w:eastAsia="zh-CN"/>
        </w:rPr>
        <w:t>支出转换型政策（改变社会需求的内部结构和方向）</w:t>
      </w:r>
    </w:p>
    <w:p>
      <w:pPr>
        <w:widowControl w:val="0"/>
        <w:numPr>
          <w:ilvl w:val="0"/>
          <w:numId w:val="9"/>
        </w:numPr>
        <w:ind w:left="-210" w:leftChars="0" w:firstLine="420" w:firstLineChars="0"/>
        <w:jc w:val="both"/>
        <w:rPr>
          <w:rFonts w:hint="default"/>
          <w:color w:val="0000FF"/>
          <w:lang w:val="en-US" w:eastAsia="zh-CN"/>
        </w:rPr>
      </w:pPr>
      <w:r>
        <w:rPr>
          <w:rFonts w:hint="eastAsia"/>
          <w:b/>
          <w:bCs/>
          <w:color w:val="0000FF"/>
          <w:lang w:val="en-US" w:eastAsia="zh-CN"/>
        </w:rPr>
        <w:t>汇率政策</w:t>
      </w:r>
      <w:r>
        <w:rPr>
          <w:rFonts w:hint="eastAsia"/>
          <w:color w:val="0000FF"/>
          <w:lang w:val="en-US" w:eastAsia="zh-CN"/>
        </w:rPr>
        <w:t>：变更、浮动、贬值</w:t>
      </w:r>
    </w:p>
    <w:p>
      <w:pPr>
        <w:widowControl w:val="0"/>
        <w:numPr>
          <w:ilvl w:val="0"/>
          <w:numId w:val="9"/>
        </w:numPr>
        <w:ind w:left="-210" w:leftChars="0" w:firstLine="420" w:firstLineChars="0"/>
        <w:jc w:val="both"/>
        <w:rPr>
          <w:rFonts w:hint="default"/>
          <w:lang w:val="en-US" w:eastAsia="zh-CN"/>
        </w:rPr>
      </w:pPr>
      <w:r>
        <w:rPr>
          <w:rFonts w:hint="eastAsia"/>
          <w:lang w:val="en-US" w:eastAsia="zh-CN"/>
        </w:rPr>
        <w:t>直接管制：外汇管制、贸易政策（管制）、价格管制、金融市场管制</w:t>
      </w:r>
    </w:p>
    <w:p>
      <w:pPr>
        <w:widowControl w:val="0"/>
        <w:numPr>
          <w:ilvl w:val="0"/>
          <w:numId w:val="9"/>
        </w:numPr>
        <w:ind w:left="-210" w:leftChars="0" w:firstLine="420" w:firstLineChars="0"/>
        <w:jc w:val="both"/>
        <w:rPr>
          <w:rFonts w:hint="eastAsia"/>
          <w:lang w:val="en-US" w:eastAsia="zh-CN"/>
        </w:rPr>
      </w:pPr>
      <w:r>
        <w:rPr>
          <w:rFonts w:hint="default"/>
          <w:lang w:val="en-US" w:eastAsia="zh-CN"/>
        </w:rPr>
        <w:t>补贴政策、关税政策</w:t>
      </w:r>
      <w:r>
        <w:rPr>
          <w:rFonts w:hint="eastAsia"/>
          <w:lang w:val="en-US" w:eastAsia="zh-CN"/>
        </w:rPr>
        <w:t>、进口配额限制</w:t>
      </w:r>
    </w:p>
    <w:p>
      <w:pPr>
        <w:widowControl w:val="0"/>
        <w:numPr>
          <w:ilvl w:val="0"/>
          <w:numId w:val="0"/>
        </w:numPr>
        <w:jc w:val="both"/>
        <w:rPr>
          <w:rFonts w:hint="default"/>
          <w:lang w:val="en-US" w:eastAsia="zh-CN"/>
        </w:rPr>
      </w:pPr>
      <w:r>
        <w:rPr>
          <w:rFonts w:hint="default"/>
          <w:lang w:val="en-US" w:eastAsia="zh-CN"/>
        </w:rPr>
        <w:t>(4)</w:t>
      </w:r>
      <w:r>
        <w:rPr>
          <w:rFonts w:hint="eastAsia"/>
          <w:color w:val="auto"/>
          <w:lang w:val="en-US" w:eastAsia="zh-CN"/>
        </w:rPr>
        <w:t>供给调节政策</w:t>
      </w:r>
      <w:r>
        <w:rPr>
          <w:rFonts w:hint="default"/>
          <w:color w:val="auto"/>
          <w:lang w:val="en-US" w:eastAsia="zh-CN"/>
        </w:rPr>
        <w:t>[</w:t>
      </w:r>
      <w:r>
        <w:rPr>
          <w:rFonts w:hint="eastAsia"/>
          <w:b/>
          <w:bCs/>
          <w:color w:val="auto"/>
          <w:lang w:val="en-US" w:eastAsia="zh-CN"/>
        </w:rPr>
        <w:t>长期</w:t>
      </w:r>
      <w:r>
        <w:rPr>
          <w:rFonts w:hint="default"/>
          <w:color w:val="auto"/>
          <w:lang w:val="en-US" w:eastAsia="zh-CN"/>
        </w:rPr>
        <w:t>]</w:t>
      </w:r>
      <w:r>
        <w:rPr>
          <w:rFonts w:hint="eastAsia"/>
          <w:color w:val="auto"/>
          <w:lang w:val="en-US" w:eastAsia="zh-CN"/>
        </w:rPr>
        <w:t>：要素市场、技术、结构 e.x.产业政策、科技政策、制度创新政策</w:t>
      </w:r>
    </w:p>
    <w:p>
      <w:pPr>
        <w:numPr>
          <w:ilvl w:val="0"/>
          <w:numId w:val="1"/>
        </w:numPr>
        <w:rPr>
          <w:rFonts w:hint="eastAsia"/>
          <w:b/>
          <w:bCs/>
          <w:i/>
          <w:iCs/>
          <w:sz w:val="22"/>
          <w:szCs w:val="28"/>
          <w:lang w:val="en-US" w:eastAsia="zh-CN"/>
        </w:rPr>
      </w:pPr>
      <w:r>
        <w:rPr>
          <w:rFonts w:hint="eastAsia"/>
          <w:b/>
          <w:bCs/>
          <w:i/>
          <w:iCs/>
          <w:sz w:val="22"/>
          <w:szCs w:val="28"/>
          <w:lang w:val="en-US" w:eastAsia="zh-CN"/>
        </w:rPr>
        <w:t>第一节 外汇和汇率</w:t>
      </w:r>
    </w:p>
    <w:p>
      <w:pPr>
        <w:widowControl w:val="0"/>
        <w:numPr>
          <w:ilvl w:val="0"/>
          <w:numId w:val="0"/>
        </w:numPr>
        <w:jc w:val="both"/>
        <w:rPr>
          <w:rFonts w:hint="default"/>
          <w:lang w:val="en-US" w:eastAsia="zh-CN"/>
        </w:rPr>
      </w:pPr>
      <w:r>
        <w:rPr>
          <w:rFonts w:hint="eastAsia"/>
          <w:lang w:val="en-US" w:eastAsia="zh-CN"/>
        </w:rPr>
        <w:t>套算汇率（扩大）：相同标价法——交叉相除；不同标价法——同向相乘</w:t>
      </w:r>
    </w:p>
    <w:p>
      <w:pPr>
        <w:widowControl w:val="0"/>
        <w:numPr>
          <w:ilvl w:val="0"/>
          <w:numId w:val="0"/>
        </w:numPr>
        <w:jc w:val="both"/>
        <w:rPr>
          <w:rFonts w:hint="eastAsia"/>
          <w:lang w:val="en-US" w:eastAsia="zh-CN"/>
        </w:rPr>
      </w:pPr>
      <w:r>
        <w:rPr>
          <w:rFonts w:hint="eastAsia"/>
          <w:lang w:val="en-US" w:eastAsia="zh-CN"/>
        </w:rPr>
        <w:t>远期汇率：直接标价法下——远期汇率＝即期汇率＋升水（－贴水）</w:t>
      </w:r>
    </w:p>
    <w:p>
      <w:pPr>
        <w:widowControl w:val="0"/>
        <w:numPr>
          <w:ilvl w:val="0"/>
          <w:numId w:val="0"/>
        </w:numPr>
        <w:ind w:firstLine="1050" w:firstLineChars="500"/>
        <w:jc w:val="both"/>
        <w:rPr>
          <w:rFonts w:hint="default"/>
          <w:lang w:val="en-US" w:eastAsia="zh-CN"/>
        </w:rPr>
      </w:pPr>
      <w:r>
        <w:rPr>
          <w:rFonts w:hint="eastAsia"/>
          <w:lang w:val="en-US" w:eastAsia="zh-CN"/>
        </w:rPr>
        <w:t>间接标价法下——远期汇率＝即期汇率－升水（＋贴水）</w:t>
      </w:r>
    </w:p>
    <w:p>
      <w:pPr>
        <w:widowControl w:val="0"/>
        <w:numPr>
          <w:ilvl w:val="0"/>
          <w:numId w:val="0"/>
        </w:numPr>
        <w:jc w:val="both"/>
        <w:rPr>
          <w:rFonts w:hint="default"/>
          <w:lang w:val="en-US" w:eastAsia="zh-CN"/>
        </w:rPr>
      </w:pPr>
      <w:r>
        <w:rPr>
          <w:rFonts w:hint="eastAsia"/>
          <w:lang w:val="en-US" w:eastAsia="zh-CN"/>
        </w:rPr>
        <w:t>掉期率（扩大）：左低右高——往上加；左高右低——往下减</w:t>
      </w:r>
    </w:p>
    <w:p>
      <w:pPr>
        <w:widowControl w:val="0"/>
        <w:numPr>
          <w:ilvl w:val="0"/>
          <w:numId w:val="0"/>
        </w:numPr>
        <w:jc w:val="both"/>
        <w:rPr>
          <w:rFonts w:hint="default"/>
          <w:lang w:val="en-US" w:eastAsia="zh-CN"/>
        </w:rPr>
      </w:pPr>
      <w:r>
        <w:rPr>
          <w:rFonts w:hint="eastAsia"/>
          <w:lang w:val="en-US" w:eastAsia="zh-CN"/>
        </w:rPr>
        <w:t>外汇银行的收益——买入价和卖出价之间的差价</w:t>
      </w:r>
    </w:p>
    <w:p>
      <w:pPr>
        <w:widowControl w:val="0"/>
        <w:numPr>
          <w:ilvl w:val="0"/>
          <w:numId w:val="0"/>
        </w:numPr>
        <w:jc w:val="both"/>
        <w:rPr>
          <w:rFonts w:hint="default"/>
          <w:b/>
          <w:bCs/>
          <w:u w:val="single"/>
          <w:lang w:val="en-US" w:eastAsia="zh-CN"/>
        </w:rPr>
      </w:pPr>
      <w:r>
        <w:rPr>
          <w:rFonts w:hint="eastAsia"/>
          <w:b/>
          <w:bCs/>
          <w:u w:val="single"/>
          <w:lang w:val="en-US" w:eastAsia="zh-CN"/>
        </w:rPr>
        <w:t>词义辨析：</w:t>
      </w:r>
    </w:p>
    <w:p>
      <w:pPr>
        <w:widowControl w:val="0"/>
        <w:numPr>
          <w:ilvl w:val="0"/>
          <w:numId w:val="10"/>
        </w:numPr>
        <w:ind w:left="420" w:leftChars="0" w:hanging="420" w:firstLineChars="0"/>
        <w:jc w:val="both"/>
        <w:rPr>
          <w:rFonts w:hint="eastAsia"/>
          <w:lang w:val="en-US" w:eastAsia="zh-CN"/>
        </w:rPr>
      </w:pPr>
      <w:r>
        <w:rPr>
          <w:rFonts w:hint="eastAsia"/>
          <w:lang w:val="en-US" w:eastAsia="zh-CN"/>
        </w:rPr>
        <w:t xml:space="preserve">套期保值：卖出或买入金额等于外币资产或负债的外汇，使这笔以本币表示的价值避免   </w:t>
      </w:r>
    </w:p>
    <w:p>
      <w:pPr>
        <w:widowControl w:val="0"/>
        <w:numPr>
          <w:ilvl w:val="0"/>
          <w:numId w:val="0"/>
        </w:numPr>
        <w:ind w:leftChars="0" w:firstLine="1470" w:firstLineChars="700"/>
        <w:jc w:val="both"/>
        <w:rPr>
          <w:rFonts w:hint="eastAsia"/>
          <w:lang w:val="en-US" w:eastAsia="zh-CN"/>
        </w:rPr>
      </w:pPr>
      <w:r>
        <w:rPr>
          <w:rFonts w:hint="eastAsia"/>
          <w:lang w:val="en-US" w:eastAsia="zh-CN"/>
        </w:rPr>
        <w:t>遭受汇率波动影响</w:t>
      </w:r>
    </w:p>
    <w:p>
      <w:pPr>
        <w:widowControl w:val="0"/>
        <w:numPr>
          <w:ilvl w:val="0"/>
          <w:numId w:val="10"/>
        </w:numPr>
        <w:ind w:left="420" w:leftChars="0" w:hanging="420" w:firstLineChars="0"/>
        <w:jc w:val="both"/>
        <w:rPr>
          <w:rFonts w:hint="eastAsia"/>
          <w:lang w:val="en-US" w:eastAsia="zh-CN"/>
        </w:rPr>
      </w:pPr>
      <w:r>
        <w:rPr>
          <w:rFonts w:hint="eastAsia"/>
          <w:lang w:val="en-US" w:eastAsia="zh-CN"/>
        </w:rPr>
        <w:t>投机：为谋取汇率变动的差价而进行远期交易，承担汇率波动的风险</w:t>
      </w:r>
    </w:p>
    <w:p>
      <w:pPr>
        <w:widowControl w:val="0"/>
        <w:numPr>
          <w:ilvl w:val="0"/>
          <w:numId w:val="10"/>
        </w:numPr>
        <w:ind w:left="420" w:leftChars="0" w:hanging="420" w:firstLineChars="0"/>
        <w:jc w:val="both"/>
        <w:rPr>
          <w:rFonts w:hint="default"/>
          <w:lang w:val="en-US" w:eastAsia="zh-CN"/>
        </w:rPr>
      </w:pPr>
      <w:r>
        <w:rPr>
          <w:rFonts w:hint="eastAsia"/>
          <w:lang w:val="en-US" w:eastAsia="zh-CN"/>
        </w:rPr>
        <w:t>套汇：利用同一时刻不同外汇市场上的汇率差异通过买进和卖出外汇赚取利润。</w:t>
      </w:r>
    </w:p>
    <w:p>
      <w:pPr>
        <w:widowControl w:val="0"/>
        <w:numPr>
          <w:ilvl w:val="0"/>
          <w:numId w:val="10"/>
        </w:numPr>
        <w:ind w:left="420" w:leftChars="0" w:hanging="420" w:firstLineChars="0"/>
        <w:jc w:val="both"/>
        <w:rPr>
          <w:rFonts w:hint="eastAsia"/>
          <w:lang w:val="en-US" w:eastAsia="zh-CN"/>
        </w:rPr>
      </w:pPr>
      <w:r>
        <w:rPr>
          <w:rFonts w:hint="eastAsia"/>
          <w:lang w:val="en-US" w:eastAsia="zh-CN"/>
        </w:rPr>
        <w:t>套利：两国短期利率出现差异情况，将资金从低利率调到高利率的国家，赚取利息差额的行为。</w:t>
      </w:r>
    </w:p>
    <w:p>
      <w:pPr>
        <w:widowControl w:val="0"/>
        <w:numPr>
          <w:ilvl w:val="0"/>
          <w:numId w:val="10"/>
        </w:numPr>
        <w:ind w:left="420" w:leftChars="0" w:hanging="420" w:firstLineChars="0"/>
        <w:jc w:val="both"/>
        <w:rPr>
          <w:rFonts w:hint="eastAsia"/>
          <w:lang w:val="en-US" w:eastAsia="zh-CN"/>
        </w:rPr>
      </w:pPr>
      <w:r>
        <w:rPr>
          <w:rFonts w:hint="eastAsia"/>
          <w:lang w:val="en-US" w:eastAsia="zh-CN"/>
        </w:rPr>
        <w:t>外汇投机：即期投机——规模小、风险低；远期投机——规模大、风险高</w:t>
      </w:r>
    </w:p>
    <w:p>
      <w:pPr>
        <w:widowControl w:val="0"/>
        <w:numPr>
          <w:ilvl w:val="0"/>
          <w:numId w:val="0"/>
        </w:numPr>
        <w:jc w:val="both"/>
        <w:rPr>
          <w:rFonts w:hint="eastAsia"/>
          <w:lang w:val="en-US" w:eastAsia="zh-CN"/>
        </w:rPr>
      </w:pPr>
    </w:p>
    <w:p>
      <w:pPr>
        <w:widowControl w:val="0"/>
        <w:numPr>
          <w:ilvl w:val="0"/>
          <w:numId w:val="0"/>
        </w:numPr>
        <w:jc w:val="both"/>
        <w:rPr>
          <w:rFonts w:hint="eastAsia" w:ascii="Arial" w:hAnsi="Arial" w:cs="Arial"/>
          <w:lang w:val="en-US" w:eastAsia="zh-CN"/>
        </w:rPr>
      </w:pPr>
      <w:r>
        <w:rPr>
          <w:rFonts w:hint="eastAsia"/>
          <w:lang w:val="en-US" w:eastAsia="zh-CN"/>
        </w:rPr>
        <w:t>间接套汇机会存在条件：汇率值相乘</w:t>
      </w:r>
      <w:r>
        <w:rPr>
          <w:rFonts w:hint="default" w:ascii="Arial" w:hAnsi="Arial" w:cs="Arial"/>
          <w:lang w:val="en-US" w:eastAsia="zh-CN"/>
        </w:rPr>
        <w:t>≠</w:t>
      </w:r>
      <w:r>
        <w:rPr>
          <w:rFonts w:hint="eastAsia" w:ascii="Arial" w:hAnsi="Arial" w:cs="Arial"/>
          <w:lang w:val="en-US" w:eastAsia="zh-CN"/>
        </w:rPr>
        <w:t>1（大于1——从左到右买；否则卖）</w:t>
      </w:r>
    </w:p>
    <w:p>
      <w:pPr>
        <w:widowControl w:val="0"/>
        <w:numPr>
          <w:ilvl w:val="0"/>
          <w:numId w:val="0"/>
        </w:numPr>
        <w:jc w:val="both"/>
        <w:rPr>
          <w:rFonts w:hint="eastAsia" w:ascii="Arial" w:hAnsi="Arial" w:cs="Arial"/>
          <w:lang w:val="en-US" w:eastAsia="zh-CN"/>
        </w:rPr>
      </w:pPr>
      <w:r>
        <w:rPr>
          <w:rFonts w:hint="eastAsia" w:ascii="Arial" w:hAnsi="Arial" w:cs="Arial"/>
          <w:lang w:val="en-US" w:eastAsia="zh-CN"/>
        </w:rPr>
        <w:t>有效汇率：加权平均汇率指数=SUM（本国对i国汇率*贸易值占总比）</w:t>
      </w:r>
    </w:p>
    <w:p>
      <w:pPr>
        <w:widowControl w:val="0"/>
        <w:numPr>
          <w:ilvl w:val="0"/>
          <w:numId w:val="0"/>
        </w:numPr>
        <w:jc w:val="both"/>
        <w:rPr>
          <w:rFonts w:hint="default" w:ascii="Arial" w:hAnsi="Arial" w:cs="Arial"/>
          <w:lang w:val="en-US" w:eastAsia="zh-CN"/>
        </w:rPr>
      </w:pPr>
      <w:r>
        <w:rPr>
          <w:rFonts w:hint="eastAsia" w:ascii="Arial" w:hAnsi="Arial" w:cs="Arial"/>
          <w:lang w:val="en-US" w:eastAsia="zh-CN"/>
        </w:rPr>
        <w:t>货币购买力=1/物价</w:t>
      </w:r>
    </w:p>
    <w:p>
      <w:pPr>
        <w:widowControl w:val="0"/>
        <w:numPr>
          <w:ilvl w:val="0"/>
          <w:numId w:val="0"/>
        </w:numPr>
        <w:jc w:val="both"/>
        <w:rPr>
          <w:rFonts w:hint="default" w:ascii="Arial" w:hAnsi="Arial" w:cs="Arial"/>
          <w:lang w:val="en-US" w:eastAsia="zh-CN"/>
        </w:rPr>
      </w:pPr>
    </w:p>
    <w:p>
      <w:pPr>
        <w:widowControl w:val="0"/>
        <w:numPr>
          <w:ilvl w:val="0"/>
          <w:numId w:val="0"/>
        </w:numPr>
        <w:jc w:val="both"/>
        <w:rPr>
          <w:rFonts w:hint="eastAsia" w:ascii="Arial" w:hAnsi="Arial" w:cs="Arial"/>
          <w:b/>
          <w:bCs/>
          <w:highlight w:val="yellow"/>
          <w:lang w:val="en-US" w:eastAsia="zh-CN"/>
        </w:rPr>
      </w:pPr>
      <w:r>
        <w:rPr>
          <w:rFonts w:hint="eastAsia" w:ascii="Arial" w:hAnsi="Arial" w:cs="Arial"/>
          <w:b/>
          <w:bCs/>
          <w:highlight w:val="yellow"/>
          <w:lang w:val="en-US" w:eastAsia="zh-CN"/>
        </w:rPr>
        <w:t>汇率变动的影响因素</w:t>
      </w:r>
    </w:p>
    <w:p>
      <w:pPr>
        <w:widowControl w:val="0"/>
        <w:numPr>
          <w:ilvl w:val="0"/>
          <w:numId w:val="11"/>
        </w:numPr>
        <w:ind w:left="425" w:leftChars="0" w:hanging="425" w:firstLineChars="0"/>
        <w:jc w:val="both"/>
        <w:rPr>
          <w:rFonts w:hint="default" w:ascii="Arial" w:hAnsi="Arial" w:cs="Arial"/>
          <w:b w:val="0"/>
          <w:bCs w:val="0"/>
          <w:highlight w:val="none"/>
          <w:lang w:val="en-US" w:eastAsia="zh-CN"/>
        </w:rPr>
      </w:pPr>
      <w:r>
        <w:rPr>
          <w:rFonts w:hint="eastAsia" w:ascii="Arial" w:hAnsi="Arial" w:cs="Arial"/>
          <w:b/>
          <w:bCs/>
          <w:highlight w:val="yellow"/>
          <w:lang w:val="en-US" w:eastAsia="zh-CN"/>
        </w:rPr>
        <w:t>国际收支状况</w:t>
      </w:r>
      <w:r>
        <w:rPr>
          <w:rFonts w:hint="eastAsia" w:ascii="Arial" w:hAnsi="Arial" w:cs="Arial"/>
          <w:b w:val="0"/>
          <w:bCs w:val="0"/>
          <w:highlight w:val="none"/>
          <w:lang w:val="en-US" w:eastAsia="zh-CN"/>
        </w:rPr>
        <w:t>——顺差本币升值；逆差本币贬值</w:t>
      </w:r>
    </w:p>
    <w:p>
      <w:pPr>
        <w:widowControl w:val="0"/>
        <w:numPr>
          <w:ilvl w:val="0"/>
          <w:numId w:val="11"/>
        </w:numPr>
        <w:ind w:left="425" w:leftChars="0" w:hanging="425" w:firstLineChars="0"/>
        <w:jc w:val="both"/>
        <w:rPr>
          <w:rFonts w:hint="default" w:ascii="Arial" w:hAnsi="Arial" w:cs="Arial"/>
          <w:b w:val="0"/>
          <w:bCs w:val="0"/>
          <w:highlight w:val="none"/>
          <w:lang w:val="en-US" w:eastAsia="zh-CN"/>
        </w:rPr>
      </w:pPr>
      <w:r>
        <w:rPr>
          <w:rFonts w:hint="eastAsia" w:ascii="Arial" w:hAnsi="Arial" w:cs="Arial"/>
          <w:b/>
          <w:bCs/>
          <w:highlight w:val="yellow"/>
          <w:lang w:val="en-US" w:eastAsia="zh-CN"/>
        </w:rPr>
        <w:t>通货膨胀率差异</w:t>
      </w:r>
      <w:r>
        <w:rPr>
          <w:rFonts w:hint="eastAsia" w:ascii="Arial" w:hAnsi="Arial" w:cs="Arial"/>
          <w:b w:val="0"/>
          <w:bCs w:val="0"/>
          <w:highlight w:val="none"/>
          <w:lang w:val="en-US" w:eastAsia="zh-CN"/>
        </w:rPr>
        <w:t>——决定汇率长期走势的主要因素（相对价格竞争能力）</w:t>
      </w:r>
    </w:p>
    <w:p>
      <w:pPr>
        <w:widowControl w:val="0"/>
        <w:numPr>
          <w:ilvl w:val="0"/>
          <w:numId w:val="11"/>
        </w:numPr>
        <w:ind w:left="425" w:leftChars="0" w:hanging="425" w:firstLineChars="0"/>
        <w:jc w:val="both"/>
        <w:rPr>
          <w:rFonts w:hint="default" w:ascii="Arial" w:hAnsi="Arial" w:cs="Arial"/>
          <w:b w:val="0"/>
          <w:bCs w:val="0"/>
          <w:highlight w:val="none"/>
          <w:lang w:val="en-US" w:eastAsia="zh-CN"/>
        </w:rPr>
      </w:pPr>
      <w:r>
        <w:rPr>
          <w:rFonts w:hint="eastAsia" w:ascii="Arial" w:hAnsi="Arial" w:cs="Arial"/>
          <w:b/>
          <w:bCs/>
          <w:highlight w:val="yellow"/>
          <w:lang w:val="en-US" w:eastAsia="zh-CN"/>
        </w:rPr>
        <w:t>利率差异</w:t>
      </w:r>
      <w:r>
        <w:rPr>
          <w:rFonts w:hint="eastAsia" w:ascii="Arial" w:hAnsi="Arial" w:cs="Arial"/>
          <w:b w:val="0"/>
          <w:bCs w:val="0"/>
          <w:highlight w:val="none"/>
          <w:lang w:val="en-US" w:eastAsia="zh-CN"/>
        </w:rPr>
        <w:t>——利率提高、资本流入增加、改善资本金融账户（预期汇率考虑）</w:t>
      </w:r>
    </w:p>
    <w:p>
      <w:pPr>
        <w:widowControl w:val="0"/>
        <w:numPr>
          <w:ilvl w:val="0"/>
          <w:numId w:val="11"/>
        </w:numPr>
        <w:ind w:left="425" w:leftChars="0" w:hanging="425" w:firstLineChars="0"/>
        <w:jc w:val="both"/>
        <w:rPr>
          <w:rFonts w:hint="default" w:ascii="Arial" w:hAnsi="Arial" w:cs="Arial"/>
          <w:b w:val="0"/>
          <w:bCs w:val="0"/>
          <w:highlight w:val="none"/>
          <w:lang w:val="en-US" w:eastAsia="zh-CN"/>
        </w:rPr>
      </w:pPr>
      <w:r>
        <w:rPr>
          <w:rFonts w:hint="eastAsia" w:ascii="Arial" w:hAnsi="Arial" w:cs="Arial"/>
          <w:b/>
          <w:bCs/>
          <w:highlight w:val="yellow"/>
          <w:lang w:val="en-US" w:eastAsia="zh-CN"/>
        </w:rPr>
        <w:t>经济增长率差异</w:t>
      </w:r>
      <w:r>
        <w:rPr>
          <w:rFonts w:hint="eastAsia" w:ascii="Arial" w:hAnsi="Arial" w:cs="Arial"/>
          <w:b w:val="0"/>
          <w:bCs w:val="0"/>
          <w:highlight w:val="none"/>
          <w:lang w:val="en-US" w:eastAsia="zh-CN"/>
        </w:rPr>
        <w:t>——经济增长力高、吸引资本流入、支持本币</w:t>
      </w:r>
    </w:p>
    <w:p>
      <w:pPr>
        <w:widowControl w:val="0"/>
        <w:numPr>
          <w:ilvl w:val="0"/>
          <w:numId w:val="11"/>
        </w:numPr>
        <w:ind w:left="425" w:leftChars="0" w:hanging="425" w:firstLineChars="0"/>
        <w:jc w:val="both"/>
        <w:rPr>
          <w:rFonts w:hint="default" w:ascii="Arial" w:hAnsi="Arial" w:cs="Arial"/>
          <w:b w:val="0"/>
          <w:bCs w:val="0"/>
          <w:highlight w:val="none"/>
          <w:lang w:val="en-US" w:eastAsia="zh-CN"/>
        </w:rPr>
      </w:pPr>
      <w:r>
        <w:rPr>
          <w:rFonts w:hint="eastAsia" w:ascii="Arial" w:hAnsi="Arial" w:cs="Arial"/>
          <w:b/>
          <w:bCs/>
          <w:highlight w:val="yellow"/>
          <w:lang w:val="en-US" w:eastAsia="zh-CN"/>
        </w:rPr>
        <w:t>中央银行干预</w:t>
      </w:r>
      <w:r>
        <w:rPr>
          <w:rFonts w:hint="eastAsia" w:ascii="Arial" w:hAnsi="Arial" w:cs="Arial"/>
          <w:b w:val="0"/>
          <w:bCs w:val="0"/>
          <w:highlight w:val="none"/>
          <w:lang w:val="en-US" w:eastAsia="zh-CN"/>
        </w:rPr>
        <w:t>——外汇市场干预影响汇率短期走势</w:t>
      </w:r>
    </w:p>
    <w:p>
      <w:pPr>
        <w:widowControl w:val="0"/>
        <w:numPr>
          <w:ilvl w:val="0"/>
          <w:numId w:val="11"/>
        </w:numPr>
        <w:ind w:left="425" w:leftChars="0" w:hanging="425" w:firstLineChars="0"/>
        <w:jc w:val="both"/>
        <w:rPr>
          <w:rFonts w:hint="default" w:ascii="Arial" w:hAnsi="Arial" w:cs="Arial"/>
          <w:b w:val="0"/>
          <w:bCs w:val="0"/>
          <w:highlight w:val="none"/>
          <w:lang w:val="en-US" w:eastAsia="zh-CN"/>
        </w:rPr>
      </w:pPr>
      <w:r>
        <w:rPr>
          <w:rFonts w:hint="eastAsia" w:ascii="Arial" w:hAnsi="Arial" w:cs="Arial"/>
          <w:b/>
          <w:bCs/>
          <w:highlight w:val="yellow"/>
          <w:lang w:val="en-US" w:eastAsia="zh-CN"/>
        </w:rPr>
        <w:t>预期因素</w:t>
      </w:r>
      <w:r>
        <w:rPr>
          <w:rFonts w:hint="eastAsia" w:ascii="Arial" w:hAnsi="Arial" w:cs="Arial"/>
          <w:b w:val="0"/>
          <w:bCs w:val="0"/>
          <w:highlight w:val="none"/>
          <w:lang w:val="en-US" w:eastAsia="zh-CN"/>
        </w:rPr>
        <w:t>——引起市场投机活动，加剧市场汇率变动</w:t>
      </w:r>
    </w:p>
    <w:p>
      <w:pPr>
        <w:widowControl w:val="0"/>
        <w:numPr>
          <w:ilvl w:val="0"/>
          <w:numId w:val="0"/>
        </w:numPr>
        <w:jc w:val="both"/>
        <w:rPr>
          <w:rFonts w:hint="default" w:ascii="Arial" w:hAnsi="Arial" w:cs="Arial"/>
          <w:lang w:val="en-US" w:eastAsia="zh-CN"/>
        </w:rPr>
      </w:pPr>
    </w:p>
    <w:p>
      <w:pPr>
        <w:widowControl w:val="0"/>
        <w:numPr>
          <w:ilvl w:val="0"/>
          <w:numId w:val="0"/>
        </w:numPr>
        <w:jc w:val="both"/>
        <w:rPr>
          <w:rFonts w:hint="eastAsia" w:ascii="Arial" w:hAnsi="Arial" w:cs="Arial"/>
          <w:lang w:val="en-US" w:eastAsia="zh-CN"/>
        </w:rPr>
      </w:pPr>
      <w:r>
        <w:rPr>
          <w:rFonts w:hint="eastAsia" w:ascii="Arial" w:hAnsi="Arial" w:cs="Arial"/>
          <w:lang w:val="en-US" w:eastAsia="zh-CN"/>
        </w:rPr>
        <w:t>汇率变动对短期资本流动影响较大，对长期较小；若大幅度贬值会引起资本外逃</w:t>
      </w:r>
    </w:p>
    <w:p>
      <w:pPr>
        <w:widowControl w:val="0"/>
        <w:numPr>
          <w:ilvl w:val="0"/>
          <w:numId w:val="0"/>
        </w:numPr>
        <w:jc w:val="both"/>
        <w:rPr>
          <w:rFonts w:hint="eastAsia" w:ascii="Arial" w:hAnsi="Arial" w:cs="Arial"/>
          <w:lang w:val="en-US" w:eastAsia="zh-CN"/>
        </w:rPr>
      </w:pPr>
    </w:p>
    <w:p>
      <w:pPr>
        <w:numPr>
          <w:ilvl w:val="0"/>
          <w:numId w:val="1"/>
        </w:numPr>
        <w:rPr>
          <w:rFonts w:hint="eastAsia"/>
          <w:lang w:val="en-US" w:eastAsia="zh-CN"/>
        </w:rPr>
      </w:pPr>
      <w:r>
        <w:rPr>
          <w:rFonts w:hint="eastAsia"/>
          <w:b/>
          <w:bCs/>
          <w:i/>
          <w:iCs/>
          <w:sz w:val="22"/>
          <w:szCs w:val="28"/>
          <w:lang w:val="en-US" w:eastAsia="zh-CN"/>
        </w:rPr>
        <w:t>固定汇率制下的汇率理论——国际收支理论</w:t>
      </w:r>
    </w:p>
    <w:p>
      <w:pPr>
        <w:widowControl w:val="0"/>
        <w:numPr>
          <w:ilvl w:val="0"/>
          <w:numId w:val="0"/>
        </w:numPr>
        <w:jc w:val="both"/>
        <w:rPr>
          <w:rFonts w:hint="default"/>
          <w:lang w:val="en-US" w:eastAsia="zh-CN"/>
        </w:rPr>
      </w:pPr>
      <w:r>
        <w:rPr>
          <w:rFonts w:hint="eastAsia"/>
          <w:i/>
          <w:iCs/>
          <w:u w:val="single"/>
          <w:lang w:val="en-US" w:eastAsia="zh-CN"/>
        </w:rPr>
        <w:t>改善贸易&amp;经常账户——减少赤字（支出</w:t>
      </w:r>
      <w:r>
        <w:rPr>
          <w:rFonts w:hint="default"/>
          <w:i/>
          <w:iCs/>
          <w:u w:val="single"/>
          <w:lang w:val="en-US" w:eastAsia="zh-CN"/>
        </w:rPr>
        <w:t>&gt;</w:t>
      </w:r>
      <w:r>
        <w:rPr>
          <w:rFonts w:hint="eastAsia"/>
          <w:i/>
          <w:iCs/>
          <w:u w:val="single"/>
          <w:lang w:val="en-US" w:eastAsia="zh-CN"/>
        </w:rPr>
        <w:t>收入）减少逆差（进口</w:t>
      </w:r>
      <w:r>
        <w:rPr>
          <w:rFonts w:hint="default"/>
          <w:i/>
          <w:iCs/>
          <w:u w:val="single"/>
          <w:lang w:val="en-US" w:eastAsia="zh-CN"/>
        </w:rPr>
        <w:t>&gt;</w:t>
      </w:r>
      <w:r>
        <w:rPr>
          <w:rFonts w:hint="eastAsia"/>
          <w:i/>
          <w:iCs/>
          <w:u w:val="single"/>
          <w:lang w:val="en-US" w:eastAsia="zh-CN"/>
        </w:rPr>
        <w:t>出口）提高国内相对价格</w:t>
      </w:r>
    </w:p>
    <w:p>
      <w:pPr>
        <w:widowControl w:val="0"/>
        <w:numPr>
          <w:ilvl w:val="0"/>
          <w:numId w:val="0"/>
        </w:numPr>
        <w:jc w:val="both"/>
        <w:rPr>
          <w:rFonts w:hint="eastAsia"/>
          <w:lang w:val="en-US" w:eastAsia="zh-CN"/>
        </w:rPr>
      </w:pPr>
      <w:r>
        <w:rPr>
          <w:rFonts w:hint="eastAsia"/>
          <w:lang w:val="en-US" w:eastAsia="zh-CN"/>
        </w:rPr>
        <w:t>价格-铸币流动机制</w:t>
      </w:r>
    </w:p>
    <w:p>
      <w:pPr>
        <w:widowControl w:val="0"/>
        <w:numPr>
          <w:ilvl w:val="0"/>
          <w:numId w:val="0"/>
        </w:numPr>
        <w:jc w:val="both"/>
        <w:rPr>
          <w:rFonts w:hint="eastAsia"/>
          <w:lang w:val="en-US" w:eastAsia="zh-CN"/>
        </w:rPr>
      </w:pPr>
      <w:r>
        <w:rPr>
          <w:rFonts w:hint="eastAsia"/>
          <w:b/>
          <w:bCs/>
          <w:sz w:val="24"/>
          <w:szCs w:val="32"/>
          <w:lang w:val="en-US" w:eastAsia="zh-CN"/>
        </w:rPr>
        <w:drawing>
          <wp:anchor distT="0" distB="0" distL="114300" distR="114300" simplePos="0" relativeHeight="251660288" behindDoc="0" locked="0" layoutInCell="1" allowOverlap="1">
            <wp:simplePos x="0" y="0"/>
            <wp:positionH relativeFrom="column">
              <wp:posOffset>992505</wp:posOffset>
            </wp:positionH>
            <wp:positionV relativeFrom="paragraph">
              <wp:posOffset>71755</wp:posOffset>
            </wp:positionV>
            <wp:extent cx="1210310" cy="441960"/>
            <wp:effectExtent l="0" t="0" r="0" b="0"/>
            <wp:wrapNone/>
            <wp:docPr id="1" name="图片 1" descr="截屏2024-06-09 08.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4-06-09 08.57.36"/>
                    <pic:cNvPicPr>
                      <a:picLocks noChangeAspect="1"/>
                    </pic:cNvPicPr>
                  </pic:nvPicPr>
                  <pic:blipFill>
                    <a:blip r:embed="rId7">
                      <a:clrChange>
                        <a:clrFrom>
                          <a:srgbClr val="FFFFFF">
                            <a:alpha val="100000"/>
                          </a:srgbClr>
                        </a:clrFrom>
                        <a:clrTo>
                          <a:srgbClr val="FFFFFF">
                            <a:alpha val="100000"/>
                            <a:alpha val="0"/>
                          </a:srgbClr>
                        </a:clrTo>
                      </a:clrChange>
                    </a:blip>
                    <a:stretch>
                      <a:fillRect/>
                    </a:stretch>
                  </pic:blipFill>
                  <pic:spPr>
                    <a:xfrm>
                      <a:off x="0" y="0"/>
                      <a:ext cx="1210310" cy="441960"/>
                    </a:xfrm>
                    <a:prstGeom prst="rect">
                      <a:avLst/>
                    </a:prstGeom>
                  </pic:spPr>
                </pic:pic>
              </a:graphicData>
            </a:graphic>
          </wp:anchor>
        </w:drawing>
      </w:r>
      <w:r>
        <w:rPr>
          <w:rFonts w:hint="eastAsia"/>
          <w:b/>
          <w:bCs/>
          <w:sz w:val="24"/>
          <w:szCs w:val="32"/>
          <w:lang w:val="en-US" w:eastAsia="zh-CN"/>
        </w:rPr>
        <w:t>弹性论</w:t>
      </w:r>
      <w:r>
        <w:rPr>
          <w:rFonts w:hint="eastAsia"/>
          <w:lang w:val="en-US" w:eastAsia="zh-CN"/>
        </w:rPr>
        <w:t>：本币贬值改善TB账户取决于进出口需求价格弹性</w:t>
      </w:r>
      <w:r>
        <w:rPr>
          <w:rFonts w:hint="eastAsia"/>
          <w:highlight w:val="cyan"/>
          <w:lang w:val="en-US" w:eastAsia="zh-CN"/>
        </w:rPr>
        <w:t>【支出转换政策：汇率贬值】</w:t>
      </w:r>
    </w:p>
    <w:p>
      <w:pPr>
        <w:widowControl w:val="0"/>
        <w:numPr>
          <w:ilvl w:val="0"/>
          <w:numId w:val="0"/>
        </w:numPr>
        <w:jc w:val="both"/>
        <w:rPr>
          <w:rFonts w:hint="default"/>
          <w:lang w:val="en-US" w:eastAsia="zh-CN"/>
        </w:rPr>
      </w:pPr>
      <w:r>
        <w:rPr>
          <w:rFonts w:hint="eastAsia"/>
          <w:lang w:val="en-US" w:eastAsia="zh-CN"/>
        </w:rPr>
        <w:t>马歇尔-勒纳条件：              （</w:t>
      </w:r>
      <w:r>
        <w:rPr>
          <w:rFonts w:hint="eastAsia"/>
          <w:color w:val="FF0000"/>
          <w:lang w:val="en-US" w:eastAsia="zh-CN"/>
        </w:rPr>
        <w:t>必要非充分条件</w:t>
      </w:r>
      <w:r>
        <w:rPr>
          <w:rFonts w:hint="eastAsia"/>
          <w:lang w:val="en-US" w:eastAsia="zh-CN"/>
        </w:rPr>
        <w:t>）</w:t>
      </w:r>
    </w:p>
    <w:p>
      <w:pPr>
        <w:widowControl w:val="0"/>
        <w:numPr>
          <w:ilvl w:val="0"/>
          <w:numId w:val="0"/>
        </w:numPr>
        <w:jc w:val="both"/>
        <w:rPr>
          <w:rFonts w:hint="eastAsia"/>
          <w:lang w:val="en-US" w:eastAsia="zh-CN"/>
        </w:rPr>
      </w:pPr>
      <w:r>
        <w:rPr>
          <w:rFonts w:hint="eastAsia"/>
          <w:lang w:val="en-US" w:eastAsia="zh-CN"/>
        </w:rPr>
        <w:t>J曲线效应：短期内贬值不能立即引起贸易数量变化，不能改善TB甚至会恶化</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b/>
          <w:bCs/>
          <w:sz w:val="24"/>
          <w:szCs w:val="32"/>
          <w:lang w:val="en-US" w:eastAsia="zh-CN"/>
        </w:rPr>
        <w:t>乘数论</w:t>
      </w:r>
      <w:r>
        <w:rPr>
          <w:rFonts w:hint="eastAsia"/>
          <w:lang w:val="en-US" w:eastAsia="zh-CN"/>
        </w:rPr>
        <w:t>：汇率、价格不变下，贬值通过收入变动对国际贸易收支的影响（边际进口倾向）</w:t>
      </w:r>
    </w:p>
    <w:p>
      <w:pPr>
        <w:widowControl w:val="0"/>
        <w:numPr>
          <w:ilvl w:val="0"/>
          <w:numId w:val="0"/>
        </w:numPr>
        <w:jc w:val="both"/>
        <w:rPr>
          <w:rFonts w:hint="default"/>
          <w:lang w:val="en-US" w:eastAsia="zh-CN"/>
        </w:rPr>
      </w:pPr>
      <w:r>
        <w:rPr>
          <w:rFonts w:hint="default"/>
          <w:lang w:val="en-US" w:eastAsia="zh-CN"/>
        </w:rPr>
        <w:drawing>
          <wp:anchor distT="0" distB="0" distL="114300" distR="114300" simplePos="0" relativeHeight="251661312" behindDoc="0" locked="0" layoutInCell="1" allowOverlap="1">
            <wp:simplePos x="0" y="0"/>
            <wp:positionH relativeFrom="column">
              <wp:posOffset>705485</wp:posOffset>
            </wp:positionH>
            <wp:positionV relativeFrom="paragraph">
              <wp:posOffset>28575</wp:posOffset>
            </wp:positionV>
            <wp:extent cx="1607185" cy="194945"/>
            <wp:effectExtent l="0" t="0" r="18415" b="8255"/>
            <wp:wrapNone/>
            <wp:docPr id="4" name="图片 4" descr="截屏2024-06-09 09.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4-06-09 09.01.06"/>
                    <pic:cNvPicPr>
                      <a:picLocks noChangeAspect="1"/>
                    </pic:cNvPicPr>
                  </pic:nvPicPr>
                  <pic:blipFill>
                    <a:blip r:embed="rId8">
                      <a:clrChange>
                        <a:clrFrom>
                          <a:srgbClr val="FDFDFD">
                            <a:alpha val="100000"/>
                          </a:srgbClr>
                        </a:clrFrom>
                        <a:clrTo>
                          <a:srgbClr val="FDFDFD">
                            <a:alpha val="100000"/>
                            <a:alpha val="0"/>
                          </a:srgbClr>
                        </a:clrTo>
                      </a:clrChange>
                    </a:blip>
                    <a:stretch>
                      <a:fillRect/>
                    </a:stretch>
                  </pic:blipFill>
                  <pic:spPr>
                    <a:xfrm>
                      <a:off x="0" y="0"/>
                      <a:ext cx="1607185" cy="194945"/>
                    </a:xfrm>
                    <a:prstGeom prst="rect">
                      <a:avLst/>
                    </a:prstGeom>
                  </pic:spPr>
                </pic:pic>
              </a:graphicData>
            </a:graphic>
          </wp:anchor>
        </w:drawing>
      </w:r>
      <w:r>
        <w:rPr>
          <w:rFonts w:hint="eastAsia"/>
          <w:lang w:val="en-US" w:eastAsia="zh-CN"/>
        </w:rPr>
        <w:t>哈伯格条件：</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b/>
          <w:bCs/>
          <w:sz w:val="24"/>
          <w:szCs w:val="32"/>
          <w:lang w:val="en-US" w:eastAsia="zh-CN"/>
        </w:rPr>
        <w:t>吸收法</w:t>
      </w:r>
      <w:r>
        <w:rPr>
          <w:rFonts w:hint="eastAsia"/>
          <w:lang w:val="en-US" w:eastAsia="zh-CN"/>
        </w:rPr>
        <w:t>：宏观分析下，贬值通过国民收入水平&amp;支出行为（吸收）对国际收支产生影响</w:t>
      </w:r>
    </w:p>
    <w:p>
      <w:pPr>
        <w:widowControl w:val="0"/>
        <w:numPr>
          <w:ilvl w:val="0"/>
          <w:numId w:val="0"/>
        </w:numPr>
        <w:jc w:val="both"/>
        <w:rPr>
          <w:rFonts w:hint="default"/>
          <w:i w:val="0"/>
          <w:iCs w:val="0"/>
          <w:highlight w:val="cyan"/>
          <w:lang w:val="en-US" w:eastAsia="zh-CN"/>
        </w:rPr>
      </w:pPr>
      <w:r>
        <w:rPr>
          <w:rFonts w:hint="default"/>
          <w:i w:val="0"/>
          <w:iCs w:val="0"/>
          <w:sz w:val="11"/>
          <w:szCs w:val="15"/>
          <w:highlight w:val="none"/>
          <w:lang w:val="en-US" w:eastAsia="zh-CN"/>
        </w:rPr>
        <w:drawing>
          <wp:anchor distT="0" distB="0" distL="114300" distR="114300" simplePos="0" relativeHeight="251662336" behindDoc="0" locked="0" layoutInCell="1" allowOverlap="1">
            <wp:simplePos x="0" y="0"/>
            <wp:positionH relativeFrom="column">
              <wp:posOffset>611505</wp:posOffset>
            </wp:positionH>
            <wp:positionV relativeFrom="paragraph">
              <wp:posOffset>22225</wp:posOffset>
            </wp:positionV>
            <wp:extent cx="2481580" cy="165100"/>
            <wp:effectExtent l="0" t="0" r="7620" b="12700"/>
            <wp:wrapNone/>
            <wp:docPr id="5" name="图片 5" descr="截屏2024-06-09 09.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4-06-09 09.13.07"/>
                    <pic:cNvPicPr>
                      <a:picLocks noChangeAspect="1"/>
                    </pic:cNvPicPr>
                  </pic:nvPicPr>
                  <pic:blipFill>
                    <a:blip r:embed="rId9">
                      <a:clrChange>
                        <a:clrFrom>
                          <a:srgbClr val="FAFAFA">
                            <a:alpha val="100000"/>
                          </a:srgbClr>
                        </a:clrFrom>
                        <a:clrTo>
                          <a:srgbClr val="FAFAFA">
                            <a:alpha val="100000"/>
                            <a:alpha val="0"/>
                          </a:srgbClr>
                        </a:clrTo>
                      </a:clrChange>
                    </a:blip>
                    <a:srcRect t="21578" b="23177"/>
                    <a:stretch>
                      <a:fillRect/>
                    </a:stretch>
                  </pic:blipFill>
                  <pic:spPr>
                    <a:xfrm>
                      <a:off x="0" y="0"/>
                      <a:ext cx="2481580" cy="165100"/>
                    </a:xfrm>
                    <a:prstGeom prst="rect">
                      <a:avLst/>
                    </a:prstGeom>
                  </pic:spPr>
                </pic:pic>
              </a:graphicData>
            </a:graphic>
          </wp:anchor>
        </w:drawing>
      </w:r>
      <w:r>
        <w:rPr>
          <w:rFonts w:hint="eastAsia"/>
          <w:i w:val="0"/>
          <w:iCs w:val="0"/>
          <w:sz w:val="11"/>
          <w:szCs w:val="15"/>
          <w:highlight w:val="none"/>
          <w:lang w:val="en-US" w:eastAsia="zh-CN"/>
        </w:rPr>
        <w:t xml:space="preserve">凯恩斯国民收入方程                                                                         </w:t>
      </w:r>
      <w:r>
        <w:rPr>
          <w:rFonts w:hint="default"/>
          <w:i w:val="0"/>
          <w:iCs w:val="0"/>
          <w:highlight w:val="cyan"/>
          <w:lang w:val="en-US" w:eastAsia="zh-CN"/>
        </w:rPr>
        <w:t>[</w:t>
      </w:r>
      <w:r>
        <w:rPr>
          <w:rFonts w:hint="eastAsia"/>
          <w:i w:val="0"/>
          <w:iCs w:val="0"/>
          <w:highlight w:val="cyan"/>
          <w:lang w:val="en-US" w:eastAsia="zh-CN"/>
        </w:rPr>
        <w:t>支出增减政策：财政政策</w:t>
      </w:r>
      <w:r>
        <w:rPr>
          <w:rFonts w:hint="default"/>
          <w:i w:val="0"/>
          <w:iCs w:val="0"/>
          <w:highlight w:val="cyan"/>
          <w:lang w:val="en-US" w:eastAsia="zh-CN"/>
        </w:rPr>
        <w:t>]</w:t>
      </w:r>
    </w:p>
    <w:p>
      <w:pPr>
        <w:widowControl w:val="0"/>
        <w:numPr>
          <w:ilvl w:val="0"/>
          <w:numId w:val="0"/>
        </w:numPr>
        <w:jc w:val="both"/>
        <w:rPr>
          <w:rFonts w:hint="eastAsia"/>
          <w:lang w:val="en-US" w:eastAsia="zh-CN"/>
        </w:rPr>
      </w:pPr>
      <w:r>
        <w:rPr>
          <w:rFonts w:hint="eastAsia"/>
          <w:lang w:val="en-US" w:eastAsia="zh-CN"/>
        </w:rPr>
        <w:t>闲置资源效应：边际吸收倾向</w:t>
      </w:r>
      <w:r>
        <w:rPr>
          <w:rFonts w:hint="default" w:ascii="Arial" w:hAnsi="Arial" w:cs="Arial"/>
          <w:lang w:val="en-US" w:eastAsia="zh-CN"/>
        </w:rPr>
        <w:t>α</w:t>
      </w:r>
      <w:r>
        <w:rPr>
          <w:rFonts w:hint="default"/>
          <w:lang w:val="en-US" w:eastAsia="zh-CN"/>
        </w:rPr>
        <w:t>&gt;1</w:t>
      </w:r>
      <w:r>
        <w:rPr>
          <w:rFonts w:hint="eastAsia"/>
          <w:lang w:val="en-US" w:eastAsia="zh-CN"/>
        </w:rPr>
        <w:t>改善</w:t>
      </w:r>
    </w:p>
    <w:p>
      <w:pPr>
        <w:widowControl w:val="0"/>
        <w:numPr>
          <w:ilvl w:val="0"/>
          <w:numId w:val="0"/>
        </w:numPr>
        <w:jc w:val="both"/>
        <w:rPr>
          <w:rFonts w:hint="default"/>
          <w:lang w:val="en-US" w:eastAsia="zh-CN"/>
        </w:rPr>
      </w:pPr>
      <w:r>
        <w:rPr>
          <w:rFonts w:hint="eastAsia"/>
          <w:lang w:val="en-US" w:eastAsia="zh-CN"/>
        </w:rPr>
        <w:t>贸易条件效应：边际吸收倾向</w:t>
      </w:r>
      <w:r>
        <w:rPr>
          <w:rFonts w:hint="default" w:ascii="Arial" w:hAnsi="Arial" w:cs="Arial"/>
          <w:lang w:val="en-US" w:eastAsia="zh-CN"/>
        </w:rPr>
        <w:t>α</w:t>
      </w:r>
      <w:r>
        <w:rPr>
          <w:rFonts w:hint="default"/>
          <w:lang w:val="en-US" w:eastAsia="zh-CN"/>
        </w:rPr>
        <w:t>&lt;1</w:t>
      </w:r>
      <w:r>
        <w:rPr>
          <w:rFonts w:hint="eastAsia"/>
          <w:lang w:val="en-US" w:eastAsia="zh-CN"/>
        </w:rPr>
        <w:t>改善</w:t>
      </w:r>
    </w:p>
    <w:p>
      <w:pPr>
        <w:widowControl w:val="0"/>
        <w:numPr>
          <w:ilvl w:val="0"/>
          <w:numId w:val="0"/>
        </w:numPr>
        <w:jc w:val="both"/>
        <w:rPr>
          <w:rFonts w:hint="eastAsia"/>
          <w:lang w:val="en-US" w:eastAsia="zh-CN"/>
        </w:rPr>
      </w:pPr>
      <w:r>
        <w:rPr>
          <w:rFonts w:hint="eastAsia"/>
          <w:lang w:val="en-US" w:eastAsia="zh-CN"/>
        </w:rPr>
        <w:t>现金余额效应：物价上升，实际货币余额减少，为维持持有余额——</w:t>
      </w:r>
      <w:r>
        <w:rPr>
          <w:rFonts w:hint="default"/>
          <w:lang w:val="en-US" w:eastAsia="zh-CN"/>
        </w:rPr>
        <w:t>&gt;</w:t>
      </w:r>
      <w:r>
        <w:rPr>
          <w:rFonts w:hint="eastAsia"/>
          <w:lang w:val="en-US" w:eastAsia="zh-CN"/>
        </w:rPr>
        <w:t>减少支出，减少吸收</w:t>
      </w:r>
    </w:p>
    <w:p>
      <w:pPr>
        <w:widowControl w:val="0"/>
        <w:numPr>
          <w:ilvl w:val="0"/>
          <w:numId w:val="0"/>
        </w:numPr>
        <w:jc w:val="both"/>
        <w:rPr>
          <w:rFonts w:hint="eastAsia"/>
          <w:lang w:val="en-US" w:eastAsia="zh-CN"/>
        </w:rPr>
      </w:pPr>
      <w:r>
        <w:rPr>
          <w:rFonts w:hint="eastAsia"/>
          <w:lang w:val="en-US" w:eastAsia="zh-CN"/>
        </w:rPr>
        <w:drawing>
          <wp:anchor distT="0" distB="0" distL="114300" distR="114300" simplePos="0" relativeHeight="251664384" behindDoc="0" locked="0" layoutInCell="1" allowOverlap="1">
            <wp:simplePos x="0" y="0"/>
            <wp:positionH relativeFrom="column">
              <wp:posOffset>534035</wp:posOffset>
            </wp:positionH>
            <wp:positionV relativeFrom="paragraph">
              <wp:posOffset>169545</wp:posOffset>
            </wp:positionV>
            <wp:extent cx="1722755" cy="288925"/>
            <wp:effectExtent l="0" t="0" r="0" b="16510"/>
            <wp:wrapNone/>
            <wp:docPr id="7" name="图片 7" descr="截屏2024-06-09 10.0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4-06-09 10.02.55"/>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0" y="0"/>
                      <a:ext cx="1722755" cy="288925"/>
                    </a:xfrm>
                    <a:prstGeom prst="rect">
                      <a:avLst/>
                    </a:prstGeom>
                  </pic:spPr>
                </pic:pic>
              </a:graphicData>
            </a:graphic>
          </wp:anchor>
        </w:drawing>
      </w:r>
      <w:r>
        <w:rPr>
          <w:rFonts w:hint="eastAsia"/>
          <w:b/>
          <w:bCs/>
          <w:sz w:val="24"/>
          <w:szCs w:val="32"/>
          <w:lang w:val="en-US" w:eastAsia="zh-CN"/>
        </w:rPr>
        <w:t>货币论</w:t>
      </w:r>
      <w:r>
        <w:rPr>
          <w:rFonts w:hint="eastAsia"/>
          <w:lang w:val="en-US" w:eastAsia="zh-CN"/>
        </w:rPr>
        <w:t>：一价定律、充分就业下，货币需求稳定，货币市场均衡通过</w:t>
      </w:r>
      <w:r>
        <w:rPr>
          <w:rFonts w:hint="eastAsia"/>
          <w:b/>
          <w:bCs/>
          <w:lang w:val="en-US" w:eastAsia="zh-CN"/>
        </w:rPr>
        <w:t>货币供给</w:t>
      </w:r>
      <w:r>
        <w:rPr>
          <w:rFonts w:hint="eastAsia"/>
          <w:lang w:val="en-US" w:eastAsia="zh-CN"/>
        </w:rPr>
        <w:t>增减实现</w:t>
      </w:r>
    </w:p>
    <w:p>
      <w:pPr>
        <w:widowControl w:val="0"/>
        <w:numPr>
          <w:ilvl w:val="0"/>
          <w:numId w:val="0"/>
        </w:numPr>
        <w:jc w:val="both"/>
        <w:rPr>
          <w:rFonts w:hint="default"/>
          <w:lang w:val="en-US" w:eastAsia="zh-CN"/>
        </w:rPr>
      </w:pPr>
      <w:r>
        <w:rPr>
          <w:rFonts w:hint="eastAsia"/>
          <w:lang w:val="en-US" w:eastAsia="zh-CN"/>
        </w:rPr>
        <w:t xml:space="preserve">                                    </w:t>
      </w:r>
      <w:r>
        <w:rPr>
          <w:rFonts w:hint="eastAsia"/>
          <w:highlight w:val="cyan"/>
          <w:lang w:val="en-US" w:eastAsia="zh-CN"/>
        </w:rPr>
        <w:t>【国际收支是货币现象；货币政策】</w:t>
      </w:r>
    </w:p>
    <w:p>
      <w:pPr>
        <w:widowControl w:val="0"/>
        <w:numPr>
          <w:ilvl w:val="0"/>
          <w:numId w:val="0"/>
        </w:numPr>
        <w:jc w:val="both"/>
        <w:rPr>
          <w:rFonts w:hint="default"/>
          <w:lang w:val="en-US" w:eastAsia="zh-CN"/>
        </w:rPr>
      </w:pPr>
      <w:r>
        <w:rPr>
          <w:rFonts w:hint="eastAsia"/>
          <w:lang w:val="en-US" w:eastAsia="zh-CN"/>
        </w:rPr>
        <w:t>国内信贷D增加——</w:t>
      </w:r>
      <w:r>
        <w:rPr>
          <w:rFonts w:hint="default"/>
          <w:lang w:val="en-US" w:eastAsia="zh-CN"/>
        </w:rPr>
        <w:t>&gt;</w:t>
      </w:r>
      <w:r>
        <w:rPr>
          <w:rFonts w:hint="eastAsia"/>
          <w:lang w:val="en-US" w:eastAsia="zh-CN"/>
        </w:rPr>
        <w:t>赤字——</w:t>
      </w:r>
      <w:r>
        <w:rPr>
          <w:rFonts w:hint="default"/>
          <w:lang w:val="en-US" w:eastAsia="zh-CN"/>
        </w:rPr>
        <w:t>&gt;</w:t>
      </w:r>
      <w:r>
        <w:rPr>
          <w:rFonts w:hint="eastAsia"/>
          <w:lang w:val="en-US" w:eastAsia="zh-CN"/>
        </w:rPr>
        <w:t>干预：减少国际储备ΔR（=B）——</w:t>
      </w:r>
      <w:r>
        <w:rPr>
          <w:rFonts w:hint="default"/>
          <w:lang w:val="en-US" w:eastAsia="zh-CN"/>
        </w:rPr>
        <w:t>&gt;Ms=Md</w:t>
      </w:r>
      <w:r>
        <w:rPr>
          <w:rFonts w:hint="eastAsia"/>
          <w:lang w:val="en-US" w:eastAsia="zh-CN"/>
        </w:rPr>
        <w:t>均衡</w:t>
      </w:r>
    </w:p>
    <w:p>
      <w:pPr>
        <w:widowControl w:val="0"/>
        <w:numPr>
          <w:ilvl w:val="0"/>
          <w:numId w:val="0"/>
        </w:numPr>
        <w:jc w:val="both"/>
        <w:rPr>
          <w:rFonts w:hint="default"/>
          <w:sz w:val="20"/>
          <w:szCs w:val="22"/>
          <w:lang w:val="en-US" w:eastAsia="zh-CN"/>
        </w:rPr>
      </w:pPr>
      <w:r>
        <w:rPr>
          <w:rFonts w:hint="eastAsia"/>
          <w:sz w:val="20"/>
          <w:szCs w:val="22"/>
          <w:lang w:val="en-US" w:eastAsia="zh-CN"/>
        </w:rPr>
        <w:t>贬值——</w:t>
      </w:r>
      <w:r>
        <w:rPr>
          <w:rFonts w:hint="default"/>
          <w:sz w:val="20"/>
          <w:szCs w:val="22"/>
          <w:lang w:val="en-US" w:eastAsia="zh-CN"/>
        </w:rPr>
        <w:t>&gt;</w:t>
      </w:r>
      <w:r>
        <w:rPr>
          <w:rFonts w:hint="eastAsia"/>
          <w:sz w:val="20"/>
          <w:szCs w:val="22"/>
          <w:lang w:val="en-US" w:eastAsia="zh-CN"/>
        </w:rPr>
        <w:t>价格上涨——</w:t>
      </w:r>
      <w:r>
        <w:rPr>
          <w:rFonts w:hint="default"/>
          <w:sz w:val="20"/>
          <w:szCs w:val="22"/>
          <w:lang w:val="en-US" w:eastAsia="zh-CN"/>
        </w:rPr>
        <w:t>&gt;</w:t>
      </w:r>
      <w:r>
        <w:rPr>
          <w:rFonts w:hint="eastAsia"/>
          <w:sz w:val="20"/>
          <w:szCs w:val="22"/>
          <w:lang w:val="en-US" w:eastAsia="zh-CN"/>
        </w:rPr>
        <w:t>实际现金余额减少——</w:t>
      </w:r>
      <w:r>
        <w:rPr>
          <w:rFonts w:hint="default"/>
          <w:sz w:val="20"/>
          <w:szCs w:val="22"/>
          <w:lang w:val="en-US" w:eastAsia="zh-CN"/>
        </w:rPr>
        <w:t>&gt;</w:t>
      </w:r>
      <w:r>
        <w:rPr>
          <w:rFonts w:hint="eastAsia"/>
          <w:sz w:val="20"/>
          <w:szCs w:val="22"/>
          <w:lang w:val="en-US" w:eastAsia="zh-CN"/>
        </w:rPr>
        <w:t>投资消费减少——</w:t>
      </w:r>
      <w:r>
        <w:rPr>
          <w:rFonts w:hint="default"/>
          <w:sz w:val="20"/>
          <w:szCs w:val="22"/>
          <w:lang w:val="en-US" w:eastAsia="zh-CN"/>
        </w:rPr>
        <w:t>&gt;</w:t>
      </w:r>
      <w:r>
        <w:rPr>
          <w:rFonts w:hint="eastAsia"/>
          <w:sz w:val="20"/>
          <w:szCs w:val="22"/>
          <w:lang w:val="en-US" w:eastAsia="zh-CN"/>
        </w:rPr>
        <w:t>进口需求减少，贸易改善</w:t>
      </w:r>
    </w:p>
    <w:p>
      <w:pPr>
        <w:widowControl w:val="0"/>
        <w:numPr>
          <w:ilvl w:val="0"/>
          <w:numId w:val="0"/>
        </w:numPr>
        <w:jc w:val="both"/>
        <w:rPr>
          <w:rFonts w:hint="eastAsia"/>
          <w:sz w:val="20"/>
          <w:szCs w:val="22"/>
          <w:lang w:val="en-US" w:eastAsia="zh-CN"/>
        </w:rPr>
      </w:pPr>
      <w:r>
        <w:rPr>
          <w:rFonts w:hint="eastAsia"/>
          <w:sz w:val="20"/>
          <w:szCs w:val="22"/>
          <w:lang w:val="en-US" w:eastAsia="zh-CN"/>
        </w:rPr>
        <w:t>（紧缩性影响）</w:t>
      </w:r>
    </w:p>
    <w:p>
      <w:pPr>
        <w:widowControl w:val="0"/>
        <w:numPr>
          <w:ilvl w:val="0"/>
          <w:numId w:val="0"/>
        </w:numPr>
        <w:jc w:val="both"/>
        <w:rPr>
          <w:rFonts w:hint="default"/>
          <w:sz w:val="20"/>
          <w:szCs w:val="22"/>
          <w:lang w:val="en-US" w:eastAsia="zh-CN"/>
        </w:rPr>
      </w:pPr>
    </w:p>
    <w:p>
      <w:pPr>
        <w:widowControl w:val="0"/>
        <w:numPr>
          <w:ilvl w:val="0"/>
          <w:numId w:val="0"/>
        </w:numPr>
        <w:jc w:val="both"/>
        <w:rPr>
          <w:rFonts w:hint="eastAsia"/>
          <w:lang w:val="en-US" w:eastAsia="zh-CN"/>
        </w:rPr>
      </w:pPr>
      <w:r>
        <w:rPr>
          <w:rFonts w:hint="eastAsia"/>
          <w:b/>
          <w:bCs/>
          <w:highlight w:val="yellow"/>
          <w:lang w:val="en-US" w:eastAsia="zh-CN"/>
        </w:rPr>
        <w:t>货币论与弹性论、乘数论和吸收论的区别</w:t>
      </w:r>
    </w:p>
    <w:p>
      <w:pPr>
        <w:widowControl w:val="0"/>
        <w:numPr>
          <w:ilvl w:val="0"/>
          <w:numId w:val="12"/>
        </w:numPr>
        <w:ind w:left="-420" w:leftChars="0" w:firstLine="420" w:firstLineChars="0"/>
        <w:jc w:val="both"/>
        <w:rPr>
          <w:rFonts w:hint="eastAsia"/>
          <w:lang w:val="en-US" w:eastAsia="zh-CN"/>
        </w:rPr>
      </w:pPr>
      <w:r>
        <w:rPr>
          <w:rFonts w:hint="eastAsia"/>
          <w:lang w:val="en-US" w:eastAsia="zh-CN"/>
        </w:rPr>
        <w:t>弹性论、乘数论和吸收论强调的是商品市场流量均衡在国际收支调整中的作用；</w:t>
      </w:r>
    </w:p>
    <w:p>
      <w:pPr>
        <w:widowControl w:val="0"/>
        <w:numPr>
          <w:ilvl w:val="0"/>
          <w:numId w:val="0"/>
        </w:numPr>
        <w:ind w:firstLine="420" w:firstLineChars="200"/>
        <w:jc w:val="both"/>
        <w:rPr>
          <w:rFonts w:hint="eastAsia"/>
          <w:lang w:val="en-US" w:eastAsia="zh-CN"/>
        </w:rPr>
      </w:pPr>
      <w:r>
        <w:rPr>
          <w:rFonts w:hint="eastAsia"/>
          <w:lang w:val="en-US" w:eastAsia="zh-CN"/>
        </w:rPr>
        <w:t>货币论强调货币市场存量均衡的作用</w:t>
      </w:r>
    </w:p>
    <w:p>
      <w:pPr>
        <w:widowControl w:val="0"/>
        <w:numPr>
          <w:ilvl w:val="0"/>
          <w:numId w:val="12"/>
        </w:numPr>
        <w:ind w:left="-420" w:leftChars="0" w:firstLine="400" w:firstLineChars="0"/>
        <w:jc w:val="both"/>
        <w:rPr>
          <w:rFonts w:hint="eastAsia"/>
          <w:lang w:val="en-US" w:eastAsia="zh-CN"/>
        </w:rPr>
      </w:pPr>
      <w:r>
        <w:rPr>
          <w:rFonts w:hint="eastAsia"/>
          <w:lang w:val="en-US" w:eastAsia="zh-CN"/>
        </w:rPr>
        <w:t>弹性论、乘数论和吸收论注重经常账户交易，强调贸易差额</w:t>
      </w:r>
    </w:p>
    <w:p>
      <w:pPr>
        <w:widowControl w:val="0"/>
        <w:numPr>
          <w:ilvl w:val="0"/>
          <w:numId w:val="0"/>
        </w:numPr>
        <w:ind w:firstLine="420" w:firstLineChars="200"/>
        <w:jc w:val="both"/>
        <w:rPr>
          <w:rFonts w:hint="eastAsia"/>
          <w:lang w:val="en-US" w:eastAsia="zh-CN"/>
        </w:rPr>
      </w:pPr>
      <w:r>
        <w:rPr>
          <w:rFonts w:hint="eastAsia"/>
          <w:lang w:val="en-US" w:eastAsia="zh-CN"/>
        </w:rPr>
        <w:t>而货币论则将国际资本流动作为考察对象，强调综合差额；</w:t>
      </w:r>
    </w:p>
    <w:p>
      <w:pPr>
        <w:widowControl w:val="0"/>
        <w:numPr>
          <w:ilvl w:val="0"/>
          <w:numId w:val="12"/>
        </w:numPr>
        <w:ind w:left="-420" w:leftChars="0" w:firstLine="400" w:firstLineChars="0"/>
        <w:jc w:val="both"/>
        <w:rPr>
          <w:rFonts w:hint="eastAsia"/>
          <w:lang w:val="en-US" w:eastAsia="zh-CN"/>
        </w:rPr>
      </w:pPr>
      <w:r>
        <w:rPr>
          <w:rFonts w:hint="eastAsia"/>
          <w:lang w:val="en-US" w:eastAsia="zh-CN"/>
        </w:rPr>
        <w:t>弹性论、乘数论和吸收论注重对线上项目的分析；</w:t>
      </w:r>
    </w:p>
    <w:p>
      <w:pPr>
        <w:widowControl w:val="0"/>
        <w:numPr>
          <w:ilvl w:val="0"/>
          <w:numId w:val="0"/>
        </w:numPr>
        <w:ind w:firstLine="420" w:firstLineChars="200"/>
        <w:jc w:val="both"/>
        <w:rPr>
          <w:rFonts w:hint="eastAsia"/>
          <w:lang w:val="en-US" w:eastAsia="zh-CN"/>
        </w:rPr>
      </w:pPr>
      <w:r>
        <w:rPr>
          <w:rFonts w:hint="eastAsia"/>
          <w:lang w:val="en-US" w:eastAsia="zh-CN"/>
        </w:rPr>
        <w:t>货币论主张从线下项目分析国际收支，通过分析线下的国际储备的变化来分析国际收支。</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本币贬值使得本国国际收支改善是有条件的：出口商品需求和进口商品需求弹性和大于1</w:t>
      </w:r>
    </w:p>
    <w:p>
      <w:pPr>
        <w:widowControl w:val="0"/>
        <w:numPr>
          <w:ilvl w:val="0"/>
          <w:numId w:val="0"/>
        </w:numPr>
        <w:jc w:val="both"/>
        <w:rPr>
          <w:rFonts w:hint="eastAsia"/>
          <w:lang w:val="en-US" w:eastAsia="zh-CN"/>
        </w:rPr>
      </w:pPr>
      <w:r>
        <w:rPr>
          <w:rFonts w:hint="eastAsia"/>
          <w:lang w:val="en-US" w:eastAsia="zh-CN"/>
        </w:rPr>
        <w:t>本国收入上升导致本国国际收支恶化是有条件的：边际吸收倾向大于1</w:t>
      </w:r>
    </w:p>
    <w:p>
      <w:pPr>
        <w:widowControl w:val="0"/>
        <w:numPr>
          <w:ilvl w:val="0"/>
          <w:numId w:val="0"/>
        </w:numPr>
        <w:jc w:val="both"/>
        <w:rPr>
          <w:rFonts w:hint="eastAsia"/>
          <w:lang w:val="en-US" w:eastAsia="zh-CN"/>
        </w:rPr>
      </w:pPr>
    </w:p>
    <w:p>
      <w:pPr>
        <w:numPr>
          <w:ilvl w:val="0"/>
          <w:numId w:val="1"/>
        </w:numPr>
        <w:rPr>
          <w:rFonts w:hint="eastAsia"/>
          <w:b/>
          <w:bCs/>
          <w:i/>
          <w:iCs/>
          <w:sz w:val="22"/>
          <w:szCs w:val="28"/>
          <w:lang w:val="en-US" w:eastAsia="zh-CN"/>
        </w:rPr>
      </w:pPr>
      <w:r>
        <w:rPr>
          <w:rFonts w:hint="eastAsia"/>
          <w:b/>
          <w:bCs/>
          <w:i/>
          <w:iCs/>
          <w:sz w:val="22"/>
          <w:szCs w:val="28"/>
          <w:lang w:val="en-US" w:eastAsia="zh-CN"/>
        </w:rPr>
        <w:t>浮动汇率制下的汇率理论</w:t>
      </w:r>
    </w:p>
    <w:p>
      <w:pPr>
        <w:widowControl w:val="0"/>
        <w:numPr>
          <w:ilvl w:val="0"/>
          <w:numId w:val="0"/>
        </w:numPr>
        <w:jc w:val="both"/>
        <w:rPr>
          <w:rFonts w:hint="eastAsia"/>
          <w:lang w:val="en-US" w:eastAsia="zh-CN"/>
        </w:rPr>
      </w:pPr>
      <w:r>
        <w:rPr>
          <w:rFonts w:hint="eastAsia"/>
          <w:b/>
          <w:bCs/>
          <w:sz w:val="24"/>
          <w:szCs w:val="32"/>
          <w:lang w:val="en-US" w:eastAsia="zh-CN"/>
        </w:rPr>
        <w:t>购买力平价说：</w:t>
      </w:r>
      <w:r>
        <w:rPr>
          <w:rFonts w:hint="eastAsia"/>
          <w:lang w:val="en-US" w:eastAsia="zh-CN"/>
        </w:rPr>
        <w:t>汇率——不同货币购买力之比（绝对）/通胀率差异（相对）</w:t>
      </w:r>
    </w:p>
    <w:p>
      <w:pPr>
        <w:widowControl w:val="0"/>
        <w:numPr>
          <w:ilvl w:val="0"/>
          <w:numId w:val="0"/>
        </w:numPr>
        <w:jc w:val="both"/>
        <w:rPr>
          <w:rFonts w:hint="default"/>
          <w:lang w:val="en-US" w:eastAsia="zh-CN"/>
        </w:rPr>
      </w:pPr>
      <w:r>
        <w:rPr>
          <w:rFonts w:hint="eastAsia"/>
          <w:lang w:val="en-US" w:eastAsia="zh-CN"/>
        </w:rPr>
        <w:t>对ppp的挑战“巴拉萨-萨缪尔森效应”【选择】</w:t>
      </w:r>
    </w:p>
    <w:p>
      <w:pPr>
        <w:widowControl w:val="0"/>
        <w:numPr>
          <w:ilvl w:val="0"/>
          <w:numId w:val="0"/>
        </w:numPr>
        <w:jc w:val="both"/>
        <w:rPr>
          <w:rFonts w:hint="default"/>
          <w:lang w:val="en-US" w:eastAsia="zh-CN"/>
        </w:rPr>
      </w:pPr>
      <w:r>
        <w:rPr>
          <w:rFonts w:hint="eastAsia"/>
          <w:lang w:val="en-US" w:eastAsia="zh-CN"/>
        </w:rPr>
        <w:t>经济增长率越高，工资实际增长率越高，实际汇率上升也越快</w:t>
      </w:r>
    </w:p>
    <w:p>
      <w:pPr>
        <w:widowControl w:val="0"/>
        <w:numPr>
          <w:ilvl w:val="0"/>
          <w:numId w:val="0"/>
        </w:numPr>
        <w:jc w:val="both"/>
        <w:rPr>
          <w:rFonts w:hint="eastAsia"/>
          <w:b/>
          <w:bCs/>
          <w:sz w:val="24"/>
          <w:szCs w:val="32"/>
          <w:lang w:val="en-US" w:eastAsia="zh-CN"/>
        </w:rPr>
      </w:pPr>
      <w:r>
        <w:rPr>
          <w:rFonts w:hint="default"/>
          <w:b/>
          <w:bCs/>
          <w:sz w:val="24"/>
          <w:szCs w:val="32"/>
          <w:lang w:val="en-US" w:eastAsia="zh-CN"/>
        </w:rPr>
        <w:drawing>
          <wp:anchor distT="0" distB="0" distL="114300" distR="114300" simplePos="0" relativeHeight="251666432" behindDoc="0" locked="0" layoutInCell="1" allowOverlap="1">
            <wp:simplePos x="0" y="0"/>
            <wp:positionH relativeFrom="column">
              <wp:posOffset>2647950</wp:posOffset>
            </wp:positionH>
            <wp:positionV relativeFrom="paragraph">
              <wp:posOffset>144145</wp:posOffset>
            </wp:positionV>
            <wp:extent cx="949960" cy="259080"/>
            <wp:effectExtent l="0" t="0" r="15240" b="20955"/>
            <wp:wrapNone/>
            <wp:docPr id="10" name="图片 10" descr="截屏2024-06-10 08.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4-06-10 08.23.18"/>
                    <pic:cNvPicPr>
                      <a:picLocks noChangeAspect="1"/>
                    </pic:cNvPicPr>
                  </pic:nvPicPr>
                  <pic:blipFill>
                    <a:blip r:embed="rId11">
                      <a:clrChange>
                        <a:clrFrom>
                          <a:srgbClr val="FAFAFA">
                            <a:alpha val="100000"/>
                          </a:srgbClr>
                        </a:clrFrom>
                        <a:clrTo>
                          <a:srgbClr val="FAFAFA">
                            <a:alpha val="100000"/>
                            <a:alpha val="0"/>
                          </a:srgbClr>
                        </a:clrTo>
                      </a:clrChange>
                    </a:blip>
                    <a:stretch>
                      <a:fillRect/>
                    </a:stretch>
                  </pic:blipFill>
                  <pic:spPr>
                    <a:xfrm>
                      <a:off x="0" y="0"/>
                      <a:ext cx="949960" cy="259080"/>
                    </a:xfrm>
                    <a:prstGeom prst="rect">
                      <a:avLst/>
                    </a:prstGeom>
                  </pic:spPr>
                </pic:pic>
              </a:graphicData>
            </a:graphic>
          </wp:anchor>
        </w:drawing>
      </w:r>
    </w:p>
    <w:p>
      <w:pPr>
        <w:widowControl w:val="0"/>
        <w:numPr>
          <w:ilvl w:val="0"/>
          <w:numId w:val="0"/>
        </w:numPr>
        <w:jc w:val="both"/>
        <w:rPr>
          <w:rFonts w:hint="eastAsia"/>
          <w:b/>
          <w:bCs/>
          <w:sz w:val="24"/>
          <w:szCs w:val="32"/>
          <w:lang w:val="en-US" w:eastAsia="zh-CN"/>
        </w:rPr>
      </w:pPr>
      <w:r>
        <w:rPr>
          <w:rFonts w:hint="default"/>
          <w:b/>
          <w:bCs/>
          <w:sz w:val="24"/>
          <w:szCs w:val="32"/>
          <w:lang w:val="en-US" w:eastAsia="zh-CN"/>
        </w:rPr>
        <w:drawing>
          <wp:anchor distT="0" distB="0" distL="114300" distR="114300" simplePos="0" relativeHeight="251665408" behindDoc="0" locked="0" layoutInCell="1" allowOverlap="1">
            <wp:simplePos x="0" y="0"/>
            <wp:positionH relativeFrom="column">
              <wp:posOffset>1898650</wp:posOffset>
            </wp:positionH>
            <wp:positionV relativeFrom="paragraph">
              <wp:posOffset>3175</wp:posOffset>
            </wp:positionV>
            <wp:extent cx="653415" cy="208915"/>
            <wp:effectExtent l="0" t="0" r="6985" b="19685"/>
            <wp:wrapNone/>
            <wp:docPr id="8" name="图片 8" descr="截屏2024-06-10 08.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4-06-10 08.22.09"/>
                    <pic:cNvPicPr>
                      <a:picLocks noChangeAspect="1"/>
                    </pic:cNvPicPr>
                  </pic:nvPicPr>
                  <pic:blipFill>
                    <a:blip r:embed="rId12">
                      <a:clrChange>
                        <a:clrFrom>
                          <a:srgbClr val="FEFEFE">
                            <a:alpha val="100000"/>
                          </a:srgbClr>
                        </a:clrFrom>
                        <a:clrTo>
                          <a:srgbClr val="FEFEFE">
                            <a:alpha val="100000"/>
                            <a:alpha val="0"/>
                          </a:srgbClr>
                        </a:clrTo>
                      </a:clrChange>
                    </a:blip>
                    <a:stretch>
                      <a:fillRect/>
                    </a:stretch>
                  </pic:blipFill>
                  <pic:spPr>
                    <a:xfrm>
                      <a:off x="0" y="0"/>
                      <a:ext cx="653415" cy="208915"/>
                    </a:xfrm>
                    <a:prstGeom prst="rect">
                      <a:avLst/>
                    </a:prstGeom>
                  </pic:spPr>
                </pic:pic>
              </a:graphicData>
            </a:graphic>
          </wp:anchor>
        </w:drawing>
      </w:r>
      <w:r>
        <w:rPr>
          <w:rFonts w:hint="default"/>
          <w:b/>
          <w:bCs/>
          <w:sz w:val="24"/>
          <w:szCs w:val="32"/>
          <w:lang w:val="en-US" w:eastAsia="zh-CN"/>
        </w:rPr>
        <w:drawing>
          <wp:anchor distT="0" distB="0" distL="114300" distR="114300" simplePos="0" relativeHeight="251667456" behindDoc="0" locked="0" layoutInCell="1" allowOverlap="1">
            <wp:simplePos x="0" y="0"/>
            <wp:positionH relativeFrom="column">
              <wp:posOffset>1886585</wp:posOffset>
            </wp:positionH>
            <wp:positionV relativeFrom="paragraph">
              <wp:posOffset>166370</wp:posOffset>
            </wp:positionV>
            <wp:extent cx="889635" cy="260985"/>
            <wp:effectExtent l="0" t="0" r="0" b="19050"/>
            <wp:wrapNone/>
            <wp:docPr id="11" name="图片 11" descr="/private/var/folders/d5/rgfq258x21db7f67c28lrz_h0000gn/T/com.kingsoft.wpsoffice.mac/kaimatting/20240610082652/output_aiMatting_20240610082708.pngoutput_aiMatting_2024061008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rivate/var/folders/d5/rgfq258x21db7f67c28lrz_h0000gn/T/com.kingsoft.wpsoffice.mac/kaimatting/20240610082652/output_aiMatting_20240610082708.pngoutput_aiMatting_20240610082708"/>
                    <pic:cNvPicPr>
                      <a:picLocks noChangeAspect="1"/>
                    </pic:cNvPicPr>
                  </pic:nvPicPr>
                  <pic:blipFill>
                    <a:blip r:embed="rId13">
                      <a:clrChange>
                        <a:clrFrom>
                          <a:srgbClr val="FAFAFA">
                            <a:alpha val="100000"/>
                          </a:srgbClr>
                        </a:clrFrom>
                        <a:clrTo>
                          <a:srgbClr val="FAFAFA">
                            <a:alpha val="100000"/>
                            <a:alpha val="0"/>
                          </a:srgbClr>
                        </a:clrTo>
                      </a:clrChange>
                    </a:blip>
                    <a:stretch>
                      <a:fillRect/>
                    </a:stretch>
                  </pic:blipFill>
                  <pic:spPr>
                    <a:xfrm>
                      <a:off x="0" y="0"/>
                      <a:ext cx="889635" cy="260985"/>
                    </a:xfrm>
                    <a:prstGeom prst="rect">
                      <a:avLst/>
                    </a:prstGeom>
                  </pic:spPr>
                </pic:pic>
              </a:graphicData>
            </a:graphic>
          </wp:anchor>
        </w:drawing>
      </w:r>
      <w:r>
        <w:rPr>
          <w:rFonts w:hint="eastAsia"/>
          <w:b/>
          <w:bCs/>
          <w:sz w:val="24"/>
          <w:szCs w:val="32"/>
          <w:lang w:val="en-US" w:eastAsia="zh-CN"/>
        </w:rPr>
        <w:t>利率平价说：</w:t>
      </w:r>
      <w:r>
        <w:rPr>
          <w:rFonts w:hint="eastAsia"/>
          <w:lang w:val="en-US" w:eastAsia="zh-CN"/>
        </w:rPr>
        <w:t>抛补利率平价</w:t>
      </w:r>
    </w:p>
    <w:p>
      <w:pPr>
        <w:widowControl w:val="0"/>
        <w:numPr>
          <w:ilvl w:val="0"/>
          <w:numId w:val="0"/>
        </w:numPr>
        <w:jc w:val="both"/>
        <w:rPr>
          <w:rFonts w:hint="default"/>
          <w:lang w:val="en-US" w:eastAsia="zh-CN"/>
        </w:rPr>
      </w:pPr>
      <w:r>
        <w:rPr>
          <w:rFonts w:hint="eastAsia"/>
          <w:b/>
          <w:bCs/>
          <w:sz w:val="13"/>
          <w:szCs w:val="16"/>
          <w:lang w:val="en-US" w:eastAsia="zh-CN"/>
        </w:rPr>
        <w:drawing>
          <wp:anchor distT="0" distB="0" distL="114300" distR="114300" simplePos="0" relativeHeight="251668480" behindDoc="0" locked="0" layoutInCell="1" allowOverlap="1">
            <wp:simplePos x="0" y="0"/>
            <wp:positionH relativeFrom="column">
              <wp:posOffset>121285</wp:posOffset>
            </wp:positionH>
            <wp:positionV relativeFrom="paragraph">
              <wp:posOffset>180975</wp:posOffset>
            </wp:positionV>
            <wp:extent cx="558165" cy="236220"/>
            <wp:effectExtent l="0" t="0" r="635" b="18415"/>
            <wp:wrapNone/>
            <wp:docPr id="12" name="图片 12" descr="截屏2024-06-10 08.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4-06-10 08.31.43"/>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0" y="0"/>
                      <a:ext cx="558165" cy="236220"/>
                    </a:xfrm>
                    <a:prstGeom prst="rect">
                      <a:avLst/>
                    </a:prstGeom>
                  </pic:spPr>
                </pic:pic>
              </a:graphicData>
            </a:graphic>
          </wp:anchor>
        </w:drawing>
      </w:r>
      <w:r>
        <w:rPr>
          <w:rFonts w:hint="eastAsia"/>
          <w:b/>
          <w:bCs/>
          <w:sz w:val="13"/>
          <w:szCs w:val="16"/>
          <w:lang w:val="en-US" w:eastAsia="zh-CN"/>
        </w:rPr>
        <w:t>【远期汇率的决定】</w:t>
      </w:r>
      <w:r>
        <w:rPr>
          <w:rFonts w:hint="eastAsia"/>
          <w:b/>
          <w:bCs/>
          <w:sz w:val="24"/>
          <w:szCs w:val="32"/>
          <w:lang w:val="en-US" w:eastAsia="zh-CN"/>
        </w:rPr>
        <w:t xml:space="preserve">  </w:t>
      </w:r>
      <w:r>
        <w:rPr>
          <w:rFonts w:hint="eastAsia"/>
          <w:lang w:val="en-US" w:eastAsia="zh-CN"/>
        </w:rPr>
        <w:t>非抛补利率平价</w:t>
      </w:r>
      <w:r>
        <w:rPr>
          <w:rFonts w:hint="eastAsia"/>
          <w:b/>
          <w:bCs/>
          <w:sz w:val="24"/>
          <w:szCs w:val="32"/>
          <w:lang w:val="en-US" w:eastAsia="zh-CN"/>
        </w:rPr>
        <w:t xml:space="preserve">             </w:t>
      </w:r>
      <w:r>
        <w:rPr>
          <w:rFonts w:hint="eastAsia"/>
          <w:lang w:val="en-US" w:eastAsia="zh-CN"/>
        </w:rPr>
        <w:t>（预期）（风险中性）</w:t>
      </w:r>
    </w:p>
    <w:p>
      <w:pPr>
        <w:widowControl w:val="0"/>
        <w:numPr>
          <w:ilvl w:val="0"/>
          <w:numId w:val="0"/>
        </w:numPr>
        <w:ind w:firstLine="1050" w:firstLineChars="500"/>
        <w:jc w:val="both"/>
        <w:rPr>
          <w:rFonts w:hint="eastAsia"/>
          <w:lang w:val="en-US" w:eastAsia="zh-CN"/>
        </w:rPr>
      </w:pPr>
      <w:r>
        <w:rPr>
          <w:rFonts w:hint="eastAsia"/>
          <w:lang w:val="en-US" w:eastAsia="zh-CN"/>
        </w:rPr>
        <w:t>的经济含义：远期汇率是对未来即期汇率的无偏估计</w:t>
      </w:r>
    </w:p>
    <w:p>
      <w:pPr>
        <w:widowControl w:val="0"/>
        <w:numPr>
          <w:ilvl w:val="0"/>
          <w:numId w:val="0"/>
        </w:numPr>
        <w:jc w:val="both"/>
        <w:rPr>
          <w:rFonts w:hint="default"/>
          <w:b w:val="0"/>
          <w:bCs w:val="0"/>
          <w:sz w:val="21"/>
          <w:szCs w:val="24"/>
          <w:lang w:val="en-US" w:eastAsia="zh-CN"/>
        </w:rPr>
      </w:pPr>
      <w:r>
        <w:rPr>
          <w:rFonts w:hint="eastAsia"/>
          <w:b w:val="0"/>
          <w:bCs w:val="0"/>
          <w:sz w:val="21"/>
          <w:szCs w:val="24"/>
          <w:lang w:val="en-US" w:eastAsia="zh-CN"/>
        </w:rPr>
        <w:t>利率较高的国家其货币在未来可能会相对于现在贬值/贴水</w:t>
      </w:r>
    </w:p>
    <w:p>
      <w:pPr>
        <w:widowControl w:val="0"/>
        <w:numPr>
          <w:ilvl w:val="0"/>
          <w:numId w:val="0"/>
        </w:numPr>
        <w:jc w:val="both"/>
        <w:rPr>
          <w:rFonts w:hint="eastAsia"/>
          <w:b/>
          <w:bCs/>
          <w:sz w:val="24"/>
          <w:szCs w:val="32"/>
          <w:lang w:val="en-US" w:eastAsia="zh-CN"/>
        </w:rPr>
      </w:pPr>
      <w:r>
        <w:rPr>
          <w:rFonts w:hint="eastAsia"/>
          <w:b/>
          <w:bCs/>
          <w:sz w:val="24"/>
          <w:szCs w:val="32"/>
          <w:lang w:val="en-US" w:eastAsia="zh-CN"/>
        </w:rPr>
        <w:drawing>
          <wp:anchor distT="0" distB="0" distL="114300" distR="114300" simplePos="0" relativeHeight="251669504" behindDoc="0" locked="0" layoutInCell="1" allowOverlap="1">
            <wp:simplePos x="0" y="0"/>
            <wp:positionH relativeFrom="column">
              <wp:posOffset>858520</wp:posOffset>
            </wp:positionH>
            <wp:positionV relativeFrom="paragraph">
              <wp:posOffset>51435</wp:posOffset>
            </wp:positionV>
            <wp:extent cx="2579370" cy="340360"/>
            <wp:effectExtent l="0" t="0" r="11430" b="15240"/>
            <wp:wrapNone/>
            <wp:docPr id="14" name="图片 14" descr="截屏2024-06-10 09.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截屏2024-06-10 09.02.07"/>
                    <pic:cNvPicPr>
                      <a:picLocks noChangeAspect="1"/>
                    </pic:cNvPicPr>
                  </pic:nvPicPr>
                  <pic:blipFill>
                    <a:blip r:embed="rId15"/>
                    <a:stretch>
                      <a:fillRect/>
                    </a:stretch>
                  </pic:blipFill>
                  <pic:spPr>
                    <a:xfrm>
                      <a:off x="0" y="0"/>
                      <a:ext cx="2579370" cy="340360"/>
                    </a:xfrm>
                    <a:prstGeom prst="rect">
                      <a:avLst/>
                    </a:prstGeom>
                  </pic:spPr>
                </pic:pic>
              </a:graphicData>
            </a:graphic>
          </wp:anchor>
        </w:drawing>
      </w:r>
    </w:p>
    <w:p>
      <w:pPr>
        <w:widowControl w:val="0"/>
        <w:numPr>
          <w:ilvl w:val="0"/>
          <w:numId w:val="0"/>
        </w:numPr>
        <w:jc w:val="both"/>
        <w:rPr>
          <w:rFonts w:hint="default"/>
          <w:lang w:val="en-US" w:eastAsia="zh-CN"/>
        </w:rPr>
      </w:pPr>
      <w:r>
        <w:rPr>
          <w:rFonts w:hint="eastAsia"/>
          <w:b/>
          <w:bCs/>
          <w:sz w:val="24"/>
          <w:szCs w:val="32"/>
          <w:lang w:val="en-US" w:eastAsia="zh-CN"/>
        </w:rPr>
        <w:t>国际收支说</w:t>
      </w:r>
    </w:p>
    <w:p>
      <w:pPr>
        <w:widowControl w:val="0"/>
        <w:numPr>
          <w:ilvl w:val="0"/>
          <w:numId w:val="0"/>
        </w:numPr>
        <w:jc w:val="both"/>
        <w:rPr>
          <w:rFonts w:hint="eastAsia"/>
          <w:lang w:val="en-US" w:eastAsia="zh-CN"/>
        </w:rPr>
      </w:pPr>
      <w:r>
        <w:rPr>
          <w:rFonts w:hint="eastAsia"/>
          <w:lang w:val="en-US" w:eastAsia="zh-CN"/>
        </w:rPr>
        <w:t>（来源）国际借贷说/汇率供求决定论：解释金本位制度使其外汇供求与汇率形成的理论</w:t>
      </w:r>
    </w:p>
    <w:p>
      <w:pPr>
        <w:widowControl w:val="0"/>
        <w:numPr>
          <w:ilvl w:val="0"/>
          <w:numId w:val="0"/>
        </w:numPr>
        <w:ind w:firstLine="1890" w:firstLineChars="900"/>
        <w:jc w:val="both"/>
        <w:rPr>
          <w:rFonts w:hint="default"/>
          <w:lang w:val="en-US" w:eastAsia="zh-CN"/>
        </w:rPr>
      </w:pPr>
      <w:r>
        <w:rPr>
          <w:rFonts w:hint="eastAsia"/>
          <w:lang w:val="en-US" w:eastAsia="zh-CN"/>
        </w:rPr>
        <w:t>（国际收支——</w:t>
      </w:r>
      <w:r>
        <w:rPr>
          <w:rFonts w:hint="default"/>
          <w:lang w:val="en-US" w:eastAsia="zh-CN"/>
        </w:rPr>
        <w:t>&gt;</w:t>
      </w:r>
      <w:r>
        <w:rPr>
          <w:rFonts w:hint="eastAsia"/>
          <w:lang w:val="en-US" w:eastAsia="zh-CN"/>
        </w:rPr>
        <w:t>外汇供求——</w:t>
      </w:r>
      <w:r>
        <w:rPr>
          <w:rFonts w:hint="default"/>
          <w:lang w:val="en-US" w:eastAsia="zh-CN"/>
        </w:rPr>
        <w:t>&gt;</w:t>
      </w:r>
      <w:r>
        <w:rPr>
          <w:rFonts w:hint="eastAsia"/>
          <w:lang w:val="en-US" w:eastAsia="zh-CN"/>
        </w:rPr>
        <w:t>汇率）</w:t>
      </w:r>
    </w:p>
    <w:p>
      <w:pPr>
        <w:widowControl w:val="0"/>
        <w:numPr>
          <w:ilvl w:val="0"/>
          <w:numId w:val="0"/>
        </w:numPr>
        <w:jc w:val="both"/>
        <w:rPr>
          <w:rFonts w:hint="default"/>
          <w:lang w:val="en-US" w:eastAsia="zh-CN"/>
        </w:rPr>
      </w:pPr>
      <w:r>
        <w:rPr>
          <w:rFonts w:hint="eastAsia"/>
          <w:lang w:val="en-US" w:eastAsia="zh-CN"/>
        </w:rPr>
        <w:t>本国利率上升会使本国货币升值</w:t>
      </w:r>
    </w:p>
    <w:p>
      <w:pPr>
        <w:widowControl w:val="0"/>
        <w:numPr>
          <w:ilvl w:val="0"/>
          <w:numId w:val="0"/>
        </w:numPr>
        <w:jc w:val="both"/>
        <w:rPr>
          <w:rFonts w:hint="eastAsia"/>
          <w:b/>
          <w:bCs/>
          <w:sz w:val="24"/>
          <w:szCs w:val="32"/>
          <w:lang w:val="en-US" w:eastAsia="zh-CN"/>
        </w:rPr>
      </w:pPr>
    </w:p>
    <w:p>
      <w:pPr>
        <w:widowControl w:val="0"/>
        <w:numPr>
          <w:ilvl w:val="0"/>
          <w:numId w:val="0"/>
        </w:numPr>
        <w:jc w:val="both"/>
        <w:rPr>
          <w:rFonts w:hint="default"/>
          <w:b/>
          <w:bCs/>
          <w:sz w:val="24"/>
          <w:szCs w:val="32"/>
          <w:lang w:val="en-US" w:eastAsia="zh-CN"/>
        </w:rPr>
      </w:pPr>
      <w:r>
        <w:rPr>
          <w:rFonts w:hint="eastAsia"/>
          <w:b/>
          <w:bCs/>
          <w:sz w:val="24"/>
          <w:szCs w:val="32"/>
          <w:lang w:val="en-US" w:eastAsia="zh-CN"/>
        </w:rPr>
        <w:t>资产市场说【论述】——货币市场失衡后的动态调整过程</w:t>
      </w:r>
    </w:p>
    <w:p>
      <w:pPr>
        <w:widowControl w:val="0"/>
        <w:numPr>
          <w:ilvl w:val="0"/>
          <w:numId w:val="0"/>
        </w:numPr>
        <w:jc w:val="both"/>
        <w:rPr>
          <w:rFonts w:hint="eastAsia"/>
          <w:lang w:val="en-US" w:eastAsia="zh-CN"/>
        </w:rPr>
      </w:pPr>
      <w:r>
        <w:rPr>
          <w:rFonts w:hint="eastAsia"/>
          <w:b/>
          <w:bCs/>
          <w:sz w:val="24"/>
          <w:szCs w:val="32"/>
          <w:lang w:val="en-US" w:eastAsia="zh-CN"/>
        </w:rPr>
        <w:drawing>
          <wp:anchor distT="0" distB="0" distL="114300" distR="114300" simplePos="0" relativeHeight="251687936" behindDoc="0" locked="0" layoutInCell="1" allowOverlap="1">
            <wp:simplePos x="0" y="0"/>
            <wp:positionH relativeFrom="column">
              <wp:posOffset>1853565</wp:posOffset>
            </wp:positionH>
            <wp:positionV relativeFrom="paragraph">
              <wp:posOffset>28575</wp:posOffset>
            </wp:positionV>
            <wp:extent cx="3291205" cy="2234565"/>
            <wp:effectExtent l="0" t="0" r="10795" b="635"/>
            <wp:wrapNone/>
            <wp:docPr id="31" name="图片 31" descr="截屏2024-06-18 20.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截屏2024-06-18 20.32.36"/>
                    <pic:cNvPicPr>
                      <a:picLocks noChangeAspect="1"/>
                    </pic:cNvPicPr>
                  </pic:nvPicPr>
                  <pic:blipFill>
                    <a:blip r:embed="rId16"/>
                    <a:stretch>
                      <a:fillRect/>
                    </a:stretch>
                  </pic:blipFill>
                  <pic:spPr>
                    <a:xfrm>
                      <a:off x="0" y="0"/>
                      <a:ext cx="3291205" cy="2234565"/>
                    </a:xfrm>
                    <a:prstGeom prst="rect">
                      <a:avLst/>
                    </a:prstGeom>
                  </pic:spPr>
                </pic:pic>
              </a:graphicData>
            </a:graphic>
          </wp:anchor>
        </w:drawing>
      </w:r>
      <w:r>
        <w:rPr>
          <w:rFonts w:hint="eastAsia"/>
          <w:lang w:val="en-US" w:eastAsia="zh-CN"/>
        </w:rPr>
        <w:t>货币论&amp;汇率超调模型</w:t>
      </w:r>
    </w:p>
    <w:p>
      <w:pPr>
        <w:widowControl w:val="0"/>
        <w:numPr>
          <w:ilvl w:val="0"/>
          <w:numId w:val="0"/>
        </w:numPr>
        <w:jc w:val="both"/>
        <w:rPr>
          <w:rFonts w:hint="default"/>
          <w:lang w:val="en-US" w:eastAsia="zh-CN"/>
        </w:rPr>
      </w:pPr>
    </w:p>
    <w:p>
      <w:pPr>
        <w:widowControl w:val="0"/>
        <w:numPr>
          <w:ilvl w:val="0"/>
          <w:numId w:val="0"/>
        </w:numPr>
        <w:jc w:val="both"/>
        <w:rPr>
          <w:rFonts w:hint="default"/>
          <w:b/>
          <w:bCs/>
          <w:sz w:val="24"/>
          <w:szCs w:val="32"/>
          <w:lang w:val="en-US" w:eastAsia="zh-CN"/>
        </w:rPr>
      </w:pPr>
      <w:r>
        <w:rPr>
          <w:rFonts w:hint="eastAsia"/>
          <w:b/>
          <w:bCs/>
          <w:sz w:val="24"/>
          <w:szCs w:val="32"/>
          <w:lang w:val="en-US" w:eastAsia="zh-CN"/>
        </w:rPr>
        <w:t>资产组合平衡模型</w:t>
      </w:r>
    </w:p>
    <w:p>
      <w:pPr>
        <w:widowControl w:val="0"/>
        <w:numPr>
          <w:ilvl w:val="0"/>
          <w:numId w:val="0"/>
        </w:numPr>
        <w:jc w:val="both"/>
        <w:rPr>
          <w:rFonts w:hint="default"/>
          <w:lang w:val="en-US" w:eastAsia="zh-CN"/>
        </w:rPr>
      </w:pPr>
      <w:r>
        <w:rPr>
          <w:rFonts w:hint="default"/>
          <w:lang w:val="en-US" w:eastAsia="zh-CN"/>
        </w:rPr>
        <w:drawing>
          <wp:anchor distT="0" distB="0" distL="114300" distR="114300" simplePos="0" relativeHeight="251689984" behindDoc="0" locked="0" layoutInCell="1" allowOverlap="1">
            <wp:simplePos x="0" y="0"/>
            <wp:positionH relativeFrom="column">
              <wp:posOffset>-100330</wp:posOffset>
            </wp:positionH>
            <wp:positionV relativeFrom="paragraph">
              <wp:posOffset>69850</wp:posOffset>
            </wp:positionV>
            <wp:extent cx="1850390" cy="497840"/>
            <wp:effectExtent l="0" t="0" r="3810" b="10160"/>
            <wp:wrapNone/>
            <wp:docPr id="33" name="图片 33" descr="截屏2024-06-18 21.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截屏2024-06-18 21.22.10"/>
                    <pic:cNvPicPr>
                      <a:picLocks noChangeAspect="1"/>
                    </pic:cNvPicPr>
                  </pic:nvPicPr>
                  <pic:blipFill>
                    <a:blip r:embed="rId17"/>
                    <a:stretch>
                      <a:fillRect/>
                    </a:stretch>
                  </pic:blipFill>
                  <pic:spPr>
                    <a:xfrm>
                      <a:off x="0" y="0"/>
                      <a:ext cx="1850390" cy="497840"/>
                    </a:xfrm>
                    <a:prstGeom prst="rect">
                      <a:avLst/>
                    </a:prstGeom>
                  </pic:spPr>
                </pic:pic>
              </a:graphicData>
            </a:graphic>
          </wp:anchor>
        </w:drawing>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b/>
          <w:bCs/>
          <w:sz w:val="24"/>
          <w:szCs w:val="32"/>
          <w:lang w:val="en-US" w:eastAsia="zh-CN"/>
        </w:rPr>
        <w:t>货币分析说：</w:t>
      </w:r>
      <w:r>
        <w:rPr>
          <w:rFonts w:hint="eastAsia"/>
          <w:lang w:val="en-US" w:eastAsia="zh-CN"/>
        </w:rPr>
        <w:t>汇率受两国货币量制约，把汇率与货币政策联系起来</w:t>
      </w:r>
    </w:p>
    <w:p>
      <w:pPr>
        <w:widowControl w:val="0"/>
        <w:numPr>
          <w:ilvl w:val="0"/>
          <w:numId w:val="0"/>
        </w:numPr>
        <w:jc w:val="both"/>
        <w:rPr>
          <w:rFonts w:hint="default"/>
          <w:lang w:val="en-US" w:eastAsia="zh-CN"/>
        </w:rPr>
      </w:pPr>
      <w:r>
        <w:rPr>
          <w:rFonts w:hint="eastAsia"/>
          <w:b/>
          <w:bCs/>
          <w:i/>
          <w:iCs/>
          <w:sz w:val="22"/>
          <w:szCs w:val="28"/>
          <w:lang w:val="en-US" w:eastAsia="zh-CN"/>
        </w:rPr>
        <w:drawing>
          <wp:anchor distT="0" distB="0" distL="114300" distR="114300" simplePos="0" relativeHeight="251672576" behindDoc="0" locked="0" layoutInCell="1" allowOverlap="1">
            <wp:simplePos x="0" y="0"/>
            <wp:positionH relativeFrom="column">
              <wp:posOffset>3423285</wp:posOffset>
            </wp:positionH>
            <wp:positionV relativeFrom="paragraph">
              <wp:posOffset>66040</wp:posOffset>
            </wp:positionV>
            <wp:extent cx="1828165" cy="869315"/>
            <wp:effectExtent l="0" t="0" r="635" b="19685"/>
            <wp:wrapNone/>
            <wp:docPr id="16" name="图片 16" descr="截屏2024-06-13 18.5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截屏2024-06-13 18.53.28"/>
                    <pic:cNvPicPr>
                      <a:picLocks noChangeAspect="1"/>
                    </pic:cNvPicPr>
                  </pic:nvPicPr>
                  <pic:blipFill>
                    <a:blip r:embed="rId18"/>
                    <a:stretch>
                      <a:fillRect/>
                    </a:stretch>
                  </pic:blipFill>
                  <pic:spPr>
                    <a:xfrm>
                      <a:off x="0" y="0"/>
                      <a:ext cx="1828165" cy="869315"/>
                    </a:xfrm>
                    <a:prstGeom prst="rect">
                      <a:avLst/>
                    </a:prstGeom>
                  </pic:spPr>
                </pic:pic>
              </a:graphicData>
            </a:graphic>
          </wp:anchor>
        </w:drawing>
      </w:r>
      <w:r>
        <w:rPr>
          <w:rFonts w:hint="eastAsia"/>
          <w:lang w:val="en-US" w:eastAsia="zh-CN"/>
        </w:rPr>
        <w:t>本国利率上升会使本国货币贬值</w:t>
      </w:r>
    </w:p>
    <w:p>
      <w:pPr>
        <w:widowControl w:val="0"/>
        <w:numPr>
          <w:ilvl w:val="0"/>
          <w:numId w:val="0"/>
        </w:numPr>
        <w:jc w:val="both"/>
        <w:rPr>
          <w:rFonts w:hint="default"/>
          <w:lang w:val="en-US" w:eastAsia="zh-CN"/>
        </w:rPr>
      </w:pPr>
    </w:p>
    <w:p>
      <w:pPr>
        <w:numPr>
          <w:ilvl w:val="0"/>
          <w:numId w:val="1"/>
        </w:numPr>
        <w:rPr>
          <w:rFonts w:hint="eastAsia"/>
          <w:b/>
          <w:bCs/>
          <w:i/>
          <w:iCs/>
          <w:sz w:val="24"/>
          <w:szCs w:val="32"/>
          <w:lang w:val="en-US" w:eastAsia="zh-CN"/>
        </w:rPr>
      </w:pPr>
      <w:r>
        <w:rPr>
          <w:rFonts w:hint="eastAsia"/>
          <w:b/>
          <w:bCs/>
          <w:i/>
          <w:iCs/>
          <w:sz w:val="24"/>
          <w:szCs w:val="32"/>
          <w:lang w:val="en-US" w:eastAsia="zh-CN"/>
        </w:rPr>
        <w:t>开放经济下的宏观经济政策</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开放经济下政策目标：内外均衡</w:t>
      </w:r>
    </w:p>
    <w:p>
      <w:pPr>
        <w:widowControl w:val="0"/>
        <w:numPr>
          <w:ilvl w:val="0"/>
          <w:numId w:val="0"/>
        </w:numPr>
        <w:jc w:val="both"/>
        <w:rPr>
          <w:rFonts w:hint="default"/>
          <w:lang w:val="en-US" w:eastAsia="zh-CN"/>
        </w:rPr>
      </w:pPr>
      <w:r>
        <w:rPr>
          <w:rFonts w:hint="eastAsia"/>
          <w:lang w:val="en-US" w:eastAsia="zh-CN"/>
        </w:rPr>
        <w:t>宏观经济政策四大目标：①充分就业 ②物价稳定 ③经济增长 ④国际收支平衡</w:t>
      </w:r>
    </w:p>
    <w:p>
      <w:pPr>
        <w:widowControl w:val="0"/>
        <w:numPr>
          <w:ilvl w:val="0"/>
          <w:numId w:val="0"/>
        </w:numPr>
        <w:jc w:val="both"/>
        <w:rPr>
          <w:rFonts w:hint="default"/>
          <w:lang w:val="en-US" w:eastAsia="zh-CN"/>
        </w:rPr>
      </w:pPr>
      <w:r>
        <w:rPr>
          <w:rFonts w:hint="eastAsia"/>
          <w:lang w:val="en-US" w:eastAsia="zh-CN"/>
        </w:rPr>
        <w:t>内部均衡：国内商品和劳务需求足以保证非通胀下的充分就业，非贸易品市场供求均衡</w:t>
      </w:r>
    </w:p>
    <w:p>
      <w:pPr>
        <w:widowControl w:val="0"/>
        <w:numPr>
          <w:ilvl w:val="0"/>
          <w:numId w:val="0"/>
        </w:numPr>
        <w:ind w:firstLine="1050" w:firstLineChars="500"/>
        <w:jc w:val="both"/>
        <w:rPr>
          <w:rFonts w:hint="eastAsia"/>
          <w:i/>
          <w:iCs/>
          <w:u w:val="single"/>
          <w:lang w:val="en-US" w:eastAsia="zh-CN"/>
        </w:rPr>
      </w:pPr>
      <w:r>
        <w:rPr>
          <w:rFonts w:hint="eastAsia"/>
          <w:i/>
          <w:iCs/>
          <w:u w:val="single"/>
          <w:lang w:val="en-US" w:eastAsia="zh-CN"/>
        </w:rPr>
        <w:t>高经济增长率、低通货膨胀率、高就业率</w:t>
      </w:r>
    </w:p>
    <w:p>
      <w:pPr>
        <w:widowControl w:val="0"/>
        <w:numPr>
          <w:ilvl w:val="0"/>
          <w:numId w:val="0"/>
        </w:numPr>
        <w:ind w:firstLine="1050" w:firstLineChars="500"/>
        <w:jc w:val="both"/>
        <w:rPr>
          <w:rFonts w:hint="default"/>
          <w:i/>
          <w:iCs/>
          <w:u w:val="single"/>
          <w:lang w:val="en-US" w:eastAsia="zh-CN"/>
        </w:rPr>
      </w:pPr>
    </w:p>
    <w:p>
      <w:pPr>
        <w:widowControl w:val="0"/>
        <w:numPr>
          <w:ilvl w:val="0"/>
          <w:numId w:val="0"/>
        </w:numPr>
        <w:jc w:val="both"/>
        <w:rPr>
          <w:rFonts w:hint="default"/>
          <w:lang w:val="en-US" w:eastAsia="zh-CN"/>
        </w:rPr>
      </w:pPr>
      <w:r>
        <w:rPr>
          <w:rFonts w:hint="eastAsia"/>
          <w:lang w:val="en-US" w:eastAsia="zh-CN"/>
        </w:rPr>
        <w:t>外部均衡：经常项目收支平衡，贸易品市场供求均衡（国际收支的地位）</w:t>
      </w:r>
    </w:p>
    <w:p>
      <w:pPr>
        <w:widowControl w:val="0"/>
        <w:numPr>
          <w:ilvl w:val="0"/>
          <w:numId w:val="0"/>
        </w:numPr>
        <w:jc w:val="both"/>
        <w:rPr>
          <w:rFonts w:hint="default"/>
          <w:lang w:val="en-US" w:eastAsia="zh-CN"/>
        </w:rPr>
      </w:pPr>
    </w:p>
    <w:p>
      <w:pPr>
        <w:widowControl w:val="0"/>
        <w:numPr>
          <w:ilvl w:val="0"/>
          <w:numId w:val="0"/>
        </w:numPr>
        <w:jc w:val="both"/>
        <w:rPr>
          <w:rFonts w:hint="eastAsia"/>
          <w:b/>
          <w:bCs/>
          <w:lang w:val="en-US" w:eastAsia="zh-CN"/>
        </w:rPr>
      </w:pPr>
      <w:r>
        <w:rPr>
          <w:rFonts w:hint="eastAsia"/>
          <w:b/>
          <w:bCs/>
          <w:lang w:val="en-US" w:eastAsia="zh-CN"/>
        </w:rPr>
        <w:t>米得冲突：在汇率固定不变下，政府主要运用需求管理政策调节内外均衡，</w:t>
      </w:r>
    </w:p>
    <w:p>
      <w:pPr>
        <w:widowControl w:val="0"/>
        <w:numPr>
          <w:ilvl w:val="0"/>
          <w:numId w:val="0"/>
        </w:numPr>
        <w:ind w:firstLine="1051" w:firstLineChars="500"/>
        <w:jc w:val="both"/>
        <w:rPr>
          <w:rFonts w:hint="default"/>
          <w:b/>
          <w:bCs/>
          <w:lang w:val="en-US" w:eastAsia="zh-CN"/>
        </w:rPr>
      </w:pPr>
      <w:r>
        <w:rPr>
          <w:rFonts w:hint="eastAsia"/>
          <w:b/>
          <w:bCs/>
          <w:lang w:val="en-US" w:eastAsia="zh-CN"/>
        </w:rPr>
        <w:t>开放经济特定区间下会陷入政策困境：</w:t>
      </w:r>
      <w:r>
        <w:rPr>
          <w:rFonts w:hint="eastAsia"/>
          <w:b w:val="0"/>
          <w:bCs w:val="0"/>
          <w:sz w:val="18"/>
          <w:szCs w:val="21"/>
          <w:lang w:val="en-US" w:eastAsia="zh-CN"/>
        </w:rPr>
        <w:t>【狭义内外均衡冲突】</w:t>
      </w:r>
    </w:p>
    <w:p>
      <w:pPr>
        <w:widowControl w:val="0"/>
        <w:numPr>
          <w:ilvl w:val="0"/>
          <w:numId w:val="13"/>
        </w:numPr>
        <w:ind w:left="630" w:leftChars="0" w:firstLine="420" w:firstLineChars="0"/>
        <w:jc w:val="both"/>
        <w:rPr>
          <w:rFonts w:hint="eastAsia"/>
          <w:b/>
          <w:bCs/>
          <w:lang w:val="en-US" w:eastAsia="zh-CN"/>
        </w:rPr>
      </w:pPr>
      <w:r>
        <w:rPr>
          <w:rFonts w:hint="eastAsia"/>
          <w:b/>
          <w:bCs/>
          <w:lang w:val="en-US" w:eastAsia="zh-CN"/>
        </w:rPr>
        <w:t>失业+国际收支逆差：扩张政策v.s.紧缩政策</w:t>
      </w:r>
    </w:p>
    <w:p>
      <w:pPr>
        <w:widowControl w:val="0"/>
        <w:numPr>
          <w:ilvl w:val="0"/>
          <w:numId w:val="13"/>
        </w:numPr>
        <w:ind w:left="630" w:leftChars="0" w:firstLine="420" w:firstLineChars="0"/>
        <w:jc w:val="both"/>
        <w:rPr>
          <w:rFonts w:hint="eastAsia"/>
          <w:b/>
          <w:bCs/>
          <w:lang w:val="en-US" w:eastAsia="zh-CN"/>
        </w:rPr>
      </w:pPr>
      <w:r>
        <w:rPr>
          <w:rFonts w:hint="eastAsia"/>
          <w:b/>
          <w:bCs/>
          <w:lang w:val="en-US" w:eastAsia="zh-CN"/>
        </w:rPr>
        <w:t>通货膨胀+国际收支顺差：紧缩v.s.扩张</w:t>
      </w:r>
    </w:p>
    <w:p>
      <w:pPr>
        <w:widowControl w:val="0"/>
        <w:numPr>
          <w:ilvl w:val="0"/>
          <w:numId w:val="0"/>
        </w:numPr>
        <w:jc w:val="both"/>
        <w:rPr>
          <w:rFonts w:hint="eastAsia"/>
          <w:b/>
          <w:bCs/>
          <w:lang w:val="en-US" w:eastAsia="zh-CN"/>
        </w:rPr>
      </w:pPr>
    </w:p>
    <w:p>
      <w:pPr>
        <w:widowControl w:val="0"/>
        <w:numPr>
          <w:ilvl w:val="0"/>
          <w:numId w:val="0"/>
        </w:numPr>
        <w:jc w:val="both"/>
        <w:rPr>
          <w:rFonts w:hint="default"/>
          <w:b/>
          <w:bCs/>
          <w:lang w:val="en-US" w:eastAsia="zh-CN"/>
        </w:rPr>
      </w:pPr>
      <w:r>
        <w:rPr>
          <w:rFonts w:hint="eastAsia"/>
          <w:b/>
          <w:bCs/>
          <w:lang w:val="en-US" w:eastAsia="zh-CN"/>
        </w:rPr>
        <w:t>丁伯根原则：要实现N个独立的政策目标，至少要相互独立的N种有效的政策工具</w:t>
      </w:r>
    </w:p>
    <w:p>
      <w:pPr>
        <w:widowControl w:val="0"/>
        <w:numPr>
          <w:ilvl w:val="0"/>
          <w:numId w:val="0"/>
        </w:numPr>
        <w:jc w:val="both"/>
        <w:rPr>
          <w:rFonts w:hint="eastAsia"/>
          <w:b/>
          <w:bCs/>
          <w:lang w:val="en-US" w:eastAsia="zh-CN"/>
        </w:rPr>
      </w:pPr>
    </w:p>
    <w:p>
      <w:pPr>
        <w:widowControl w:val="0"/>
        <w:numPr>
          <w:ilvl w:val="0"/>
          <w:numId w:val="0"/>
        </w:numPr>
        <w:jc w:val="both"/>
        <w:rPr>
          <w:rFonts w:hint="eastAsia"/>
          <w:b/>
          <w:bCs/>
          <w:lang w:val="en-US" w:eastAsia="zh-CN"/>
        </w:rPr>
      </w:pPr>
      <w:r>
        <w:rPr>
          <w:rFonts w:hint="eastAsia"/>
          <w:b/>
          <w:bCs/>
          <w:lang w:val="en-US" w:eastAsia="zh-CN"/>
        </w:rPr>
        <w:t>斯旺曲线：仅用一种政策工具无法同时解决内部和外部均衡问题</w:t>
      </w:r>
    </w:p>
    <w:p>
      <w:pPr>
        <w:widowControl w:val="0"/>
        <w:numPr>
          <w:ilvl w:val="0"/>
          <w:numId w:val="0"/>
        </w:numPr>
        <w:jc w:val="both"/>
        <w:rPr>
          <w:rFonts w:hint="default"/>
          <w:b/>
          <w:bCs/>
          <w:lang w:val="en-US" w:eastAsia="zh-CN"/>
        </w:rPr>
      </w:pPr>
      <w:r>
        <w:rPr>
          <w:rFonts w:hint="eastAsia"/>
          <w:b/>
          <w:bCs/>
          <w:lang w:val="en-US" w:eastAsia="zh-CN"/>
        </w:rPr>
        <w:t>【不足】没有区分货币和财政政策调节的不同方式</w:t>
      </w:r>
    </w:p>
    <w:p>
      <w:pPr>
        <w:widowControl w:val="0"/>
        <w:numPr>
          <w:ilvl w:val="0"/>
          <w:numId w:val="0"/>
        </w:numPr>
        <w:jc w:val="both"/>
        <w:rPr>
          <w:rFonts w:hint="eastAsia"/>
          <w:b/>
          <w:bCs/>
          <w:lang w:val="en-US" w:eastAsia="zh-CN"/>
        </w:rPr>
      </w:pPr>
      <w:r>
        <w:rPr>
          <w:sz w:val="22"/>
        </w:rPr>
        <mc:AlternateContent>
          <mc:Choice Requires="wps">
            <w:drawing>
              <wp:anchor distT="0" distB="0" distL="114300" distR="114300" simplePos="0" relativeHeight="251677696" behindDoc="0" locked="0" layoutInCell="1" allowOverlap="1">
                <wp:simplePos x="0" y="0"/>
                <wp:positionH relativeFrom="column">
                  <wp:posOffset>2765425</wp:posOffset>
                </wp:positionH>
                <wp:positionV relativeFrom="paragraph">
                  <wp:posOffset>497205</wp:posOffset>
                </wp:positionV>
                <wp:extent cx="473710" cy="368935"/>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473710" cy="3689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b/>
                                <w:bCs/>
                                <w:color w:val="0000FF"/>
                                <w:sz w:val="28"/>
                                <w:szCs w:val="36"/>
                                <w:lang w:eastAsia="zh-CN"/>
                              </w:rPr>
                            </w:pPr>
                            <w:r>
                              <w:rPr>
                                <w:rFonts w:hint="eastAsia"/>
                                <w:b/>
                                <w:bCs/>
                                <w:color w:val="0000FF"/>
                                <w:sz w:val="28"/>
                                <w:szCs w:val="36"/>
                                <w:lang w:eastAsia="zh-CN"/>
                              </w:rPr>
                              <w:t>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5pt;margin-top:39.15pt;height:29.05pt;width:37.3pt;z-index:251677696;mso-width-relative:page;mso-height-relative:page;" filled="f" stroked="f" coordsize="21600,21600" o:gfxdata="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lFmNQ9sAAAAK&#10;AQAADwAAAAAAAAABACAAAAA4AAAAZHJzL2Rvd25yZXYueG1sUEsBAhQAFAAAAAgAh07iQOV0S0A8&#10;AgAAZwQAAA4AAAAAAAAAAQAgAAAAQAEAAGRycy9lMm9Eb2MueG1sUEsFBgAAAAAGAAYAWQEAAO4F&#10;AAAAAA==&#10;">
                <v:fill on="f" focussize="0,0"/>
                <v:stroke on="f" weight="0.5pt"/>
                <v:imagedata o:title=""/>
                <o:lock v:ext="edit" aspectratio="f"/>
                <v:textbox>
                  <w:txbxContent>
                    <w:p>
                      <w:pPr>
                        <w:rPr>
                          <w:rFonts w:hint="eastAsia" w:eastAsiaTheme="minorEastAsia"/>
                          <w:b/>
                          <w:bCs/>
                          <w:color w:val="0000FF"/>
                          <w:sz w:val="28"/>
                          <w:szCs w:val="36"/>
                          <w:lang w:eastAsia="zh-CN"/>
                        </w:rPr>
                      </w:pPr>
                      <w:r>
                        <w:rPr>
                          <w:rFonts w:hint="eastAsia"/>
                          <w:b/>
                          <w:bCs/>
                          <w:color w:val="0000FF"/>
                          <w:sz w:val="28"/>
                          <w:szCs w:val="36"/>
                          <w:lang w:eastAsia="zh-CN"/>
                        </w:rPr>
                        <w:t>Ⅰ</w:t>
                      </w:r>
                    </w:p>
                  </w:txbxContent>
                </v:textbox>
              </v:shape>
            </w:pict>
          </mc:Fallback>
        </mc:AlternateContent>
      </w:r>
      <w:r>
        <w:rPr>
          <w:rFonts w:hint="default"/>
          <w:highlight w:val="cyan"/>
          <w:lang w:val="en-US" w:eastAsia="zh-CN"/>
        </w:rPr>
        <w:drawing>
          <wp:anchor distT="0" distB="0" distL="114300" distR="114300" simplePos="0" relativeHeight="251674624" behindDoc="0" locked="0" layoutInCell="1" allowOverlap="1">
            <wp:simplePos x="0" y="0"/>
            <wp:positionH relativeFrom="column">
              <wp:posOffset>788035</wp:posOffset>
            </wp:positionH>
            <wp:positionV relativeFrom="paragraph">
              <wp:posOffset>83185</wp:posOffset>
            </wp:positionV>
            <wp:extent cx="3519805" cy="1751965"/>
            <wp:effectExtent l="0" t="0" r="10795" b="635"/>
            <wp:wrapNone/>
            <wp:docPr id="19" name="图片 19" descr="截屏2024-05-15 10.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截屏2024-05-15 10.39.07"/>
                    <pic:cNvPicPr>
                      <a:picLocks noChangeAspect="1"/>
                    </pic:cNvPicPr>
                  </pic:nvPicPr>
                  <pic:blipFill>
                    <a:blip r:embed="rId19"/>
                    <a:stretch>
                      <a:fillRect/>
                    </a:stretch>
                  </pic:blipFill>
                  <pic:spPr>
                    <a:xfrm>
                      <a:off x="0" y="0"/>
                      <a:ext cx="3519805" cy="1751965"/>
                    </a:xfrm>
                    <a:prstGeom prst="rect">
                      <a:avLst/>
                    </a:prstGeom>
                  </pic:spPr>
                </pic:pic>
              </a:graphicData>
            </a:graphic>
          </wp:anchor>
        </w:drawing>
      </w:r>
    </w:p>
    <w:p>
      <w:pPr>
        <w:widowControl w:val="0"/>
        <w:numPr>
          <w:ilvl w:val="0"/>
          <w:numId w:val="0"/>
        </w:numPr>
        <w:jc w:val="both"/>
        <w:rPr>
          <w:rFonts w:hint="default"/>
          <w:b/>
          <w:bCs/>
          <w:lang w:val="en-US" w:eastAsia="zh-CN"/>
        </w:rPr>
      </w:pPr>
      <w:r>
        <w:rPr>
          <w:sz w:val="22"/>
        </w:rPr>
        <mc:AlternateContent>
          <mc:Choice Requires="wps">
            <w:drawing>
              <wp:anchor distT="0" distB="0" distL="114300" distR="114300" simplePos="0" relativeHeight="251679744" behindDoc="0" locked="0" layoutInCell="1" allowOverlap="1">
                <wp:simplePos x="0" y="0"/>
                <wp:positionH relativeFrom="column">
                  <wp:posOffset>1586230</wp:posOffset>
                </wp:positionH>
                <wp:positionV relativeFrom="paragraph">
                  <wp:posOffset>117475</wp:posOffset>
                </wp:positionV>
                <wp:extent cx="473710" cy="53848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73710" cy="5384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b/>
                                <w:bCs/>
                                <w:color w:val="0000FF"/>
                                <w:sz w:val="28"/>
                                <w:szCs w:val="36"/>
                                <w:lang w:eastAsia="zh-CN"/>
                              </w:rPr>
                            </w:pPr>
                            <w:r>
                              <w:rPr>
                                <w:rFonts w:hint="eastAsia"/>
                                <w:b/>
                                <w:bCs/>
                                <w:color w:val="0000FF"/>
                                <w:sz w:val="28"/>
                                <w:szCs w:val="36"/>
                                <w:lang w:eastAsia="zh-CN"/>
                              </w:rPr>
                              <w:t>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9pt;margin-top:9.25pt;height:42.4pt;width:37.3pt;z-index:251679744;mso-width-relative:page;mso-height-relative:page;" filled="f" stroked="f" coordsize="21600,21600" o:gfxdata="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WAAAAZHJzL1BLAQIUABQAAAAIAIdO4kCvy6fb2wAA&#10;AAoBAAAPAAAAAAAAAAEAIAAAADgAAABkcnMvZG93bnJldi54bWxQSwECFAAUAAAACACHTuJA52xg&#10;BD4CAABnBAAADgAAAAAAAAABACAAAABAAQAAZHJzL2Uyb0RvYy54bWxQSwUGAAAAAAYABgBZAQAA&#10;8AUAAAAA&#10;">
                <v:fill on="f" focussize="0,0"/>
                <v:stroke on="f" weight="0.5pt"/>
                <v:imagedata o:title=""/>
                <o:lock v:ext="edit" aspectratio="f"/>
                <v:textbox>
                  <w:txbxContent>
                    <w:p>
                      <w:pPr>
                        <w:rPr>
                          <w:rFonts w:hint="eastAsia" w:eastAsiaTheme="minorEastAsia"/>
                          <w:b/>
                          <w:bCs/>
                          <w:color w:val="0000FF"/>
                          <w:sz w:val="28"/>
                          <w:szCs w:val="36"/>
                          <w:lang w:eastAsia="zh-CN"/>
                        </w:rPr>
                      </w:pPr>
                      <w:r>
                        <w:rPr>
                          <w:rFonts w:hint="eastAsia"/>
                          <w:b/>
                          <w:bCs/>
                          <w:color w:val="0000FF"/>
                          <w:sz w:val="28"/>
                          <w:szCs w:val="36"/>
                          <w:lang w:eastAsia="zh-CN"/>
                        </w:rPr>
                        <w:t>Ⅳ</w:t>
                      </w:r>
                    </w:p>
                  </w:txbxContent>
                </v:textbox>
              </v:shape>
            </w:pict>
          </mc:Fallback>
        </mc:AlternateContent>
      </w:r>
    </w:p>
    <w:p>
      <w:pPr>
        <w:widowControl w:val="0"/>
        <w:numPr>
          <w:ilvl w:val="0"/>
          <w:numId w:val="0"/>
        </w:numPr>
        <w:ind w:firstLine="1100" w:firstLineChars="500"/>
        <w:jc w:val="both"/>
        <w:rPr>
          <w:rFonts w:hint="eastAsia"/>
          <w:b/>
          <w:bCs/>
          <w:lang w:val="en-US" w:eastAsia="zh-CN"/>
        </w:rPr>
      </w:pPr>
      <w:r>
        <w:rPr>
          <w:sz w:val="22"/>
        </w:rPr>
        <mc:AlternateContent>
          <mc:Choice Requires="wps">
            <w:drawing>
              <wp:anchor distT="0" distB="0" distL="114300" distR="114300" simplePos="0" relativeHeight="251682816" behindDoc="0" locked="0" layoutInCell="1" allowOverlap="1">
                <wp:simplePos x="0" y="0"/>
                <wp:positionH relativeFrom="column">
                  <wp:posOffset>1896745</wp:posOffset>
                </wp:positionH>
                <wp:positionV relativeFrom="paragraph">
                  <wp:posOffset>180975</wp:posOffset>
                </wp:positionV>
                <wp:extent cx="914400" cy="9144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color w:val="FF0000"/>
                                <w:lang w:val="en-US" w:eastAsia="zh-CN"/>
                              </w:rPr>
                            </w:pPr>
                            <w:r>
                              <w:rPr>
                                <w:rFonts w:hint="eastAsia"/>
                                <w:color w:val="FF0000"/>
                                <w:lang w:val="en-US" w:eastAsia="zh-CN"/>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35pt;margin-top:14.25pt;height:72pt;width:72pt;z-index:251682816;mso-width-relative:page;mso-height-relative:page;" filled="f" stroked="f" coordsize="21600,21600" o:gfxdata="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WAAAAZHJzL1BLAQIUABQAAAAIAIdO4kCoDsP+2gAAAAoBAAAPAAAA&#10;AAAAAAEAIAAAADgAAABkcnMvZG93bnJldi54bWxQSwECFAAUAAAACACHTuJAtZPZmzYCAABnBAAA&#10;DgAAAAAAAAABACAAAAA/AQAAZHJzL2Uyb0RvYy54bWxQSwUGAAAAAAYABgBZAQAA5wUAAAAA&#10;">
                <v:fill on="f" focussize="0,0"/>
                <v:stroke on="f" weight="0.5pt"/>
                <v:imagedata o:title=""/>
                <o:lock v:ext="edit" aspectratio="f"/>
                <v:textbox>
                  <w:txbxContent>
                    <w:p>
                      <w:pPr>
                        <w:rPr>
                          <w:rFonts w:hint="default"/>
                          <w:color w:val="FF0000"/>
                          <w:lang w:val="en-US" w:eastAsia="zh-CN"/>
                        </w:rPr>
                      </w:pPr>
                      <w:r>
                        <w:rPr>
                          <w:rFonts w:hint="eastAsia"/>
                          <w:color w:val="FF0000"/>
                          <w:lang w:val="en-US" w:eastAsia="zh-CN"/>
                        </w:rPr>
                        <w:t>D</w:t>
                      </w:r>
                    </w:p>
                  </w:txbxContent>
                </v:textbox>
              </v:shape>
            </w:pict>
          </mc:Fallback>
        </mc:AlternateContent>
      </w:r>
      <w:r>
        <w:rPr>
          <w:sz w:val="22"/>
        </w:rPr>
        <mc:AlternateContent>
          <mc:Choice Requires="wps">
            <w:drawing>
              <wp:anchor distT="0" distB="0" distL="114300" distR="114300" simplePos="0" relativeHeight="251675648" behindDoc="0" locked="0" layoutInCell="1" allowOverlap="1">
                <wp:simplePos x="0" y="0"/>
                <wp:positionH relativeFrom="column">
                  <wp:posOffset>2765425</wp:posOffset>
                </wp:positionH>
                <wp:positionV relativeFrom="paragraph">
                  <wp:posOffset>100965</wp:posOffset>
                </wp:positionV>
                <wp:extent cx="473710" cy="455295"/>
                <wp:effectExtent l="0" t="0" r="0" b="0"/>
                <wp:wrapNone/>
                <wp:docPr id="20" name="文本框 20"/>
                <wp:cNvGraphicFramePr/>
                <a:graphic xmlns:a="http://schemas.openxmlformats.org/drawingml/2006/main">
                  <a:graphicData uri="http://schemas.microsoft.com/office/word/2010/wordprocessingShape">
                    <wps:wsp>
                      <wps:cNvSpPr txBox="1"/>
                      <wps:spPr>
                        <a:xfrm>
                          <a:off x="4263390" y="4854575"/>
                          <a:ext cx="473710" cy="455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b/>
                                <w:bCs/>
                                <w:color w:val="0000FF"/>
                                <w:sz w:val="28"/>
                                <w:szCs w:val="36"/>
                                <w:lang w:eastAsia="zh-CN"/>
                              </w:rPr>
                            </w:pPr>
                            <w:r>
                              <w:rPr>
                                <w:rFonts w:hint="eastAsia"/>
                                <w:b/>
                                <w:bCs/>
                                <w:color w:val="0000FF"/>
                                <w:sz w:val="28"/>
                                <w:szCs w:val="36"/>
                                <w:lang w:eastAsia="zh-CN"/>
                              </w:rPr>
                              <w:t>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5pt;margin-top:7.95pt;height:35.85pt;width:37.3pt;z-index:251675648;mso-width-relative:page;mso-height-relative:page;" filled="f" stroked="f" coordsize="21600,21600" o:gfxdata="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WAAAAZHJzL1BLAQIUABQAAAAIAIdO4kBd&#10;T43b2gAAAAkBAAAPAAAAAAAAAAEAIAAAADgAAABkcnMvZG93bnJldi54bWxQSwECFAAUAAAACACH&#10;TuJA3nk7wUUCAABzBAAADgAAAAAAAAABACAAAAA/AQAAZHJzL2Uyb0RvYy54bWxQSwUGAAAAAAYA&#10;BgBZAQAA9gUAAAAA&#10;">
                <v:fill on="f" focussize="0,0"/>
                <v:stroke on="f" weight="0.5pt"/>
                <v:imagedata o:title=""/>
                <o:lock v:ext="edit" aspectratio="f"/>
                <v:textbox>
                  <w:txbxContent>
                    <w:p>
                      <w:pPr>
                        <w:rPr>
                          <w:rFonts w:hint="eastAsia" w:eastAsiaTheme="minorEastAsia"/>
                          <w:b/>
                          <w:bCs/>
                          <w:color w:val="0000FF"/>
                          <w:sz w:val="28"/>
                          <w:szCs w:val="36"/>
                          <w:lang w:eastAsia="zh-CN"/>
                        </w:rPr>
                      </w:pPr>
                      <w:r>
                        <w:rPr>
                          <w:rFonts w:hint="eastAsia"/>
                          <w:b/>
                          <w:bCs/>
                          <w:color w:val="0000FF"/>
                          <w:sz w:val="28"/>
                          <w:szCs w:val="36"/>
                          <w:lang w:eastAsia="zh-CN"/>
                        </w:rPr>
                        <w:t>Ⅰ</w:t>
                      </w:r>
                    </w:p>
                  </w:txbxContent>
                </v:textbox>
              </v:shape>
            </w:pict>
          </mc:Fallback>
        </mc:AlternateContent>
      </w:r>
    </w:p>
    <w:p>
      <w:pPr>
        <w:widowControl w:val="0"/>
        <w:numPr>
          <w:ilvl w:val="0"/>
          <w:numId w:val="0"/>
        </w:numPr>
        <w:jc w:val="both"/>
        <w:rPr>
          <w:rFonts w:hint="default"/>
          <w:b/>
          <w:bCs/>
          <w:lang w:val="en-US" w:eastAsia="zh-CN"/>
        </w:rPr>
      </w:pPr>
      <w:r>
        <w:rPr>
          <w:sz w:val="22"/>
        </w:rPr>
        <mc:AlternateContent>
          <mc:Choice Requires="wps">
            <w:drawing>
              <wp:anchor distT="0" distB="0" distL="114300" distR="114300" simplePos="0" relativeHeight="251681792" behindDoc="0" locked="0" layoutInCell="1" allowOverlap="1">
                <wp:simplePos x="0" y="0"/>
                <wp:positionH relativeFrom="column">
                  <wp:posOffset>1387475</wp:posOffset>
                </wp:positionH>
                <wp:positionV relativeFrom="paragraph">
                  <wp:posOffset>79375</wp:posOffset>
                </wp:positionV>
                <wp:extent cx="914400" cy="9144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color w:val="FF0000"/>
                                <w:lang w:val="en-US" w:eastAsia="zh-CN"/>
                              </w:rPr>
                            </w:pPr>
                            <w:r>
                              <w:rPr>
                                <w:rFonts w:hint="eastAsia"/>
                                <w:color w:val="FF0000"/>
                                <w:lang w:val="en-US" w:eastAsia="zh-CN"/>
                              </w:rPr>
                              <w:t>C</w:t>
                            </w:r>
                          </w:p>
                          <w:p>
                            <w:pPr>
                              <w:rPr>
                                <w:rFonts w:hint="default"/>
                                <w:color w:val="FF0000"/>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25pt;margin-top:6.25pt;height:72pt;width:72pt;z-index:251681792;mso-width-relative:page;mso-height-relative:page;" filled="f" stroked="f" coordsize="21600,21600" o:gfxdata="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ApYGsLZAAAACgEAAA8AAAAA&#10;AAAAAQAgAAAAOAAAAGRycy9kb3ducmV2LnhtbFBLAQIUABQAAAAIAIdO4kDv7BpzNgIAAGcEAAAO&#10;AAAAAAAAAAEAIAAAAD4BAABkcnMvZTJvRG9jLnhtbFBLBQYAAAAABgAGAFkBAADmBQAAAAA=&#10;">
                <v:fill on="f" focussize="0,0"/>
                <v:stroke on="f" weight="0.5pt"/>
                <v:imagedata o:title=""/>
                <o:lock v:ext="edit" aspectratio="f"/>
                <v:textbox>
                  <w:txbxContent>
                    <w:p>
                      <w:pPr>
                        <w:rPr>
                          <w:rFonts w:hint="eastAsia"/>
                          <w:color w:val="FF0000"/>
                          <w:lang w:val="en-US" w:eastAsia="zh-CN"/>
                        </w:rPr>
                      </w:pPr>
                      <w:r>
                        <w:rPr>
                          <w:rFonts w:hint="eastAsia"/>
                          <w:color w:val="FF0000"/>
                          <w:lang w:val="en-US" w:eastAsia="zh-CN"/>
                        </w:rPr>
                        <w:t>C</w:t>
                      </w:r>
                    </w:p>
                    <w:p>
                      <w:pPr>
                        <w:rPr>
                          <w:rFonts w:hint="default"/>
                          <w:color w:val="FF0000"/>
                          <w:lang w:val="en-US" w:eastAsia="zh-CN"/>
                        </w:rPr>
                      </w:pPr>
                    </w:p>
                  </w:txbxContent>
                </v:textbox>
              </v:shape>
            </w:pict>
          </mc:Fallback>
        </mc:AlternateContent>
      </w:r>
    </w:p>
    <w:p>
      <w:pPr>
        <w:widowControl w:val="0"/>
        <w:numPr>
          <w:ilvl w:val="0"/>
          <w:numId w:val="0"/>
        </w:numPr>
        <w:jc w:val="both"/>
        <w:rPr>
          <w:rFonts w:hint="eastAsia"/>
          <w:b/>
          <w:bCs/>
          <w:i/>
          <w:iCs/>
          <w:sz w:val="22"/>
          <w:szCs w:val="28"/>
          <w:highlight w:val="cyan"/>
          <w:lang w:val="en-US" w:eastAsia="zh-CN"/>
        </w:rPr>
      </w:pPr>
      <w:r>
        <w:rPr>
          <w:sz w:val="22"/>
        </w:rPr>
        <mc:AlternateContent>
          <mc:Choice Requires="wps">
            <w:drawing>
              <wp:anchor distT="0" distB="0" distL="114300" distR="114300" simplePos="0" relativeHeight="251678720" behindDoc="0" locked="0" layoutInCell="1" allowOverlap="1">
                <wp:simplePos x="0" y="0"/>
                <wp:positionH relativeFrom="column">
                  <wp:posOffset>1066800</wp:posOffset>
                </wp:positionH>
                <wp:positionV relativeFrom="paragraph">
                  <wp:posOffset>26670</wp:posOffset>
                </wp:positionV>
                <wp:extent cx="473710" cy="51244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473710" cy="5124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b/>
                                <w:bCs/>
                                <w:color w:val="0000FF"/>
                                <w:sz w:val="28"/>
                                <w:szCs w:val="36"/>
                                <w:lang w:eastAsia="zh-CN"/>
                              </w:rPr>
                            </w:pPr>
                            <w:r>
                              <w:rPr>
                                <w:rFonts w:hint="eastAsia"/>
                                <w:b/>
                                <w:bCs/>
                                <w:color w:val="0000FF"/>
                                <w:sz w:val="28"/>
                                <w:szCs w:val="36"/>
                                <w:lang w:eastAsia="zh-CN"/>
                              </w:rPr>
                              <w:t>Ⅲ</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4pt;margin-top:2.1pt;height:40.35pt;width:37.3pt;z-index:251678720;mso-width-relative:page;mso-height-relative:page;" filled="f" stroked="f" coordsize="21600,21600" o:gfxdata="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BYAAABkcnMvUEsBAhQAFAAAAAgAh07iQFxMNBzZAAAACAEA&#10;AA8AAAAAAAAAAQAgAAAAOAAAAGRycy9kb3ducmV2LnhtbFBLAQIUABQAAAAIAIdO4kAYl7u7PAIA&#10;AGcEAAAOAAAAAAAAAAEAIAAAAD4BAABkcnMvZTJvRG9jLnhtbFBLBQYAAAAABgAGAFkBAADsBQAA&#10;AAA=&#10;">
                <v:fill on="f" focussize="0,0"/>
                <v:stroke on="f" weight="0.5pt"/>
                <v:imagedata o:title=""/>
                <o:lock v:ext="edit" aspectratio="f"/>
                <v:textbox>
                  <w:txbxContent>
                    <w:p>
                      <w:pPr>
                        <w:rPr>
                          <w:rFonts w:hint="eastAsia" w:eastAsiaTheme="minorEastAsia"/>
                          <w:b/>
                          <w:bCs/>
                          <w:color w:val="0000FF"/>
                          <w:sz w:val="28"/>
                          <w:szCs w:val="36"/>
                          <w:lang w:eastAsia="zh-CN"/>
                        </w:rPr>
                      </w:pPr>
                      <w:r>
                        <w:rPr>
                          <w:rFonts w:hint="eastAsia"/>
                          <w:b/>
                          <w:bCs/>
                          <w:color w:val="0000FF"/>
                          <w:sz w:val="28"/>
                          <w:szCs w:val="36"/>
                          <w:lang w:eastAsia="zh-CN"/>
                        </w:rPr>
                        <w:t>Ⅲ</w:t>
                      </w:r>
                    </w:p>
                  </w:txbxContent>
                </v:textbox>
              </v:shape>
            </w:pict>
          </mc:Fallback>
        </mc:AlternateContent>
      </w: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r>
        <w:rPr>
          <w:sz w:val="22"/>
        </w:rPr>
        <mc:AlternateContent>
          <mc:Choice Requires="wps">
            <w:drawing>
              <wp:anchor distT="0" distB="0" distL="114300" distR="114300" simplePos="0" relativeHeight="251680768" behindDoc="0" locked="0" layoutInCell="1" allowOverlap="1">
                <wp:simplePos x="0" y="0"/>
                <wp:positionH relativeFrom="column">
                  <wp:posOffset>1944370</wp:posOffset>
                </wp:positionH>
                <wp:positionV relativeFrom="paragraph">
                  <wp:posOffset>31750</wp:posOffset>
                </wp:positionV>
                <wp:extent cx="914400" cy="914400"/>
                <wp:effectExtent l="0" t="0" r="0" b="0"/>
                <wp:wrapNone/>
                <wp:docPr id="25" name="文本框 25"/>
                <wp:cNvGraphicFramePr/>
                <a:graphic xmlns:a="http://schemas.openxmlformats.org/drawingml/2006/main">
                  <a:graphicData uri="http://schemas.microsoft.com/office/word/2010/wordprocessingShape">
                    <wps:wsp>
                      <wps:cNvSpPr txBox="1"/>
                      <wps:spPr>
                        <a:xfrm>
                          <a:off x="3459480" y="5153660"/>
                          <a:ext cx="914400" cy="914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color w:val="FF0000"/>
                                <w:lang w:val="en-US" w:eastAsia="zh-CN"/>
                              </w:rPr>
                            </w:pPr>
                            <w:r>
                              <w:rPr>
                                <w:rFonts w:hint="eastAsia"/>
                                <w:color w:val="FF0000"/>
                                <w:lang w:val="en-US" w:eastAsia="zh-CN"/>
                              </w:rPr>
                              <w:t>B</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1pt;margin-top:2.5pt;height:72pt;width:72pt;z-index:251680768;mso-width-relative:page;mso-height-relative:page;" filled="f" stroked="f" coordsize="21600,21600" o:gfxdata="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WAAAAZHJzL1BLAQIUABQAAAAIAIdO4kA2DhJn&#10;2QAAAAkBAAAPAAAAAAAAAAEAIAAAADgAAABkcnMvZG93bnJldi54bWxQSwECFAAUAAAACACHTuJA&#10;GVw9gUMCAABzBAAADgAAAAAAAAABACAAAAA+AQAAZHJzL2Uyb0RvYy54bWxQSwUGAAAAAAYABgBZ&#10;AQAA8wUAAAAA&#10;">
                <v:fill on="f" focussize="0,0"/>
                <v:stroke on="f" weight="0.5pt"/>
                <v:imagedata o:title=""/>
                <o:lock v:ext="edit" aspectratio="f"/>
                <v:textbox>
                  <w:txbxContent>
                    <w:p>
                      <w:pPr>
                        <w:rPr>
                          <w:rFonts w:hint="eastAsia" w:eastAsiaTheme="minorEastAsia"/>
                          <w:color w:val="FF0000"/>
                          <w:lang w:val="en-US" w:eastAsia="zh-CN"/>
                        </w:rPr>
                      </w:pPr>
                      <w:r>
                        <w:rPr>
                          <w:rFonts w:hint="eastAsia"/>
                          <w:color w:val="FF0000"/>
                          <w:lang w:val="en-US" w:eastAsia="zh-CN"/>
                        </w:rPr>
                        <w:t>B</w:t>
                      </w:r>
                    </w:p>
                  </w:txbxContent>
                </v:textbox>
              </v:shape>
            </w:pict>
          </mc:Fallback>
        </mc:AlternateContent>
      </w:r>
      <w:r>
        <w:rPr>
          <w:sz w:val="22"/>
        </w:rPr>
        <mc:AlternateContent>
          <mc:Choice Requires="wps">
            <w:drawing>
              <wp:anchor distT="0" distB="0" distL="114300" distR="114300" simplePos="0" relativeHeight="251676672" behindDoc="0" locked="0" layoutInCell="1" allowOverlap="1">
                <wp:simplePos x="0" y="0"/>
                <wp:positionH relativeFrom="column">
                  <wp:posOffset>1632585</wp:posOffset>
                </wp:positionH>
                <wp:positionV relativeFrom="paragraph">
                  <wp:posOffset>88265</wp:posOffset>
                </wp:positionV>
                <wp:extent cx="473710" cy="47625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473710" cy="476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b/>
                                <w:bCs/>
                                <w:color w:val="0000FF"/>
                                <w:sz w:val="28"/>
                                <w:szCs w:val="36"/>
                                <w:lang w:eastAsia="zh-CN"/>
                              </w:rPr>
                            </w:pPr>
                            <w:r>
                              <w:rPr>
                                <w:rFonts w:hint="eastAsia"/>
                                <w:b/>
                                <w:bCs/>
                                <w:color w:val="0000FF"/>
                                <w:sz w:val="28"/>
                                <w:szCs w:val="36"/>
                                <w:lang w:eastAsia="zh-CN"/>
                              </w:rPr>
                              <w:t>Ⅱ</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55pt;margin-top:6.95pt;height:37.5pt;width:37.3pt;z-index:251676672;mso-width-relative:page;mso-height-relative:page;" filled="f" stroked="f" coordsize="21600,21600" o:gfxdata="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BYAAABkcnMvUEsBAhQAFAAAAAgAh07iQLVasOHaAAAACQEA&#10;AA8AAAAAAAAAAQAgAAAAOAAAAGRycy9kb3ducmV2LnhtbFBLAQIUABQAAAAIAIdO4kBY7qoBOwIA&#10;AGcEAAAOAAAAAAAAAAEAIAAAAD8BAABkcnMvZTJvRG9jLnhtbFBLBQYAAAAABgAGAFkBAADsBQAA&#10;AAA=&#10;">
                <v:fill on="f" focussize="0,0"/>
                <v:stroke on="f" weight="0.5pt"/>
                <v:imagedata o:title=""/>
                <o:lock v:ext="edit" aspectratio="f"/>
                <v:textbox>
                  <w:txbxContent>
                    <w:p>
                      <w:pPr>
                        <w:rPr>
                          <w:rFonts w:hint="eastAsia" w:eastAsiaTheme="minorEastAsia"/>
                          <w:b/>
                          <w:bCs/>
                          <w:color w:val="0000FF"/>
                          <w:sz w:val="28"/>
                          <w:szCs w:val="36"/>
                          <w:lang w:eastAsia="zh-CN"/>
                        </w:rPr>
                      </w:pPr>
                      <w:r>
                        <w:rPr>
                          <w:rFonts w:hint="eastAsia"/>
                          <w:b/>
                          <w:bCs/>
                          <w:color w:val="0000FF"/>
                          <w:sz w:val="28"/>
                          <w:szCs w:val="36"/>
                          <w:lang w:eastAsia="zh-CN"/>
                        </w:rPr>
                        <w:t>Ⅱ</w:t>
                      </w:r>
                    </w:p>
                  </w:txbxContent>
                </v:textbox>
              </v:shape>
            </w:pict>
          </mc:Fallback>
        </mc:AlternateContent>
      </w: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14"/>
        </w:numPr>
        <w:jc w:val="both"/>
        <w:rPr>
          <w:rFonts w:hint="eastAsia"/>
          <w:lang w:val="en-US" w:eastAsia="zh-CN"/>
        </w:rPr>
      </w:pPr>
      <w:r>
        <w:rPr>
          <w:rFonts w:hint="eastAsia"/>
          <w:lang w:val="en-US" w:eastAsia="zh-CN"/>
        </w:rPr>
        <w:t>为什么图线是这个形状？【先动汇率，再看吸收如何平衡】</w:t>
      </w:r>
    </w:p>
    <w:p>
      <w:pPr>
        <w:widowControl w:val="0"/>
        <w:numPr>
          <w:ilvl w:val="0"/>
          <w:numId w:val="15"/>
        </w:numPr>
        <w:ind w:left="0" w:leftChars="0" w:firstLine="420" w:firstLineChars="200"/>
        <w:jc w:val="both"/>
        <w:rPr>
          <w:rFonts w:hint="default"/>
          <w:lang w:val="en-US" w:eastAsia="zh-CN"/>
        </w:rPr>
      </w:pPr>
      <w:r>
        <w:rPr>
          <w:rFonts w:hint="eastAsia"/>
          <w:lang w:val="en-US" w:eastAsia="zh-CN"/>
        </w:rPr>
        <w:t>EB代表外部均衡曲线，斜率为正，当纵坐标实际汇率上升，本币贬值时，价格竞争力提高使出口增加（顺差），为了使</w:t>
      </w:r>
      <w:r>
        <w:rPr>
          <w:rFonts w:hint="eastAsia"/>
          <w:b/>
          <w:bCs/>
          <w:lang w:val="en-US" w:eastAsia="zh-CN"/>
        </w:rPr>
        <w:t>经常账户保持平衡</w:t>
      </w:r>
      <w:r>
        <w:rPr>
          <w:rFonts w:hint="eastAsia"/>
          <w:lang w:val="en-US" w:eastAsia="zh-CN"/>
        </w:rPr>
        <w:t>，国内吸收也应提高，以增加进口。</w:t>
      </w:r>
    </w:p>
    <w:p>
      <w:pPr>
        <w:widowControl w:val="0"/>
        <w:numPr>
          <w:ilvl w:val="0"/>
          <w:numId w:val="15"/>
        </w:numPr>
        <w:ind w:left="0" w:leftChars="0" w:firstLine="420" w:firstLineChars="200"/>
        <w:jc w:val="both"/>
        <w:rPr>
          <w:rFonts w:hint="default"/>
          <w:lang w:val="en-US" w:eastAsia="zh-CN"/>
        </w:rPr>
      </w:pPr>
      <w:r>
        <w:rPr>
          <w:rFonts w:hint="eastAsia"/>
          <w:lang w:val="en-US" w:eastAsia="zh-CN"/>
        </w:rPr>
        <w:t>IB代表内部均衡曲线，斜率为负数，当纵坐标实际汇率下降，本币升值时，本币对外国产品购买力提高，本国价格竞争力下降，进口增加&amp;出口减少，为</w:t>
      </w:r>
      <w:r>
        <w:rPr>
          <w:rFonts w:hint="eastAsia"/>
          <w:b/>
          <w:bCs/>
          <w:lang w:val="en-US" w:eastAsia="zh-CN"/>
        </w:rPr>
        <w:t>维持充分就业</w:t>
      </w:r>
      <w:r>
        <w:rPr>
          <w:rFonts w:hint="eastAsia"/>
          <w:lang w:val="en-US" w:eastAsia="zh-CN"/>
        </w:rPr>
        <w:t>（即供给产出远不超出需求——失业），必须增加国内支出水平，即增加国内总吸收。</w:t>
      </w:r>
    </w:p>
    <w:p>
      <w:pPr>
        <w:widowControl w:val="0"/>
        <w:numPr>
          <w:ilvl w:val="0"/>
          <w:numId w:val="14"/>
        </w:numPr>
        <w:jc w:val="both"/>
        <w:rPr>
          <w:rFonts w:hint="default"/>
          <w:lang w:val="en-US" w:eastAsia="zh-CN"/>
        </w:rPr>
      </w:pPr>
      <w:r>
        <w:rPr>
          <w:rFonts w:hint="eastAsia"/>
          <w:lang w:val="en-US" w:eastAsia="zh-CN"/>
        </w:rPr>
        <w:t>每一个状态空间代表什么？</w:t>
      </w:r>
    </w:p>
    <w:p>
      <w:pPr>
        <w:widowControl w:val="0"/>
        <w:numPr>
          <w:ilvl w:val="0"/>
          <w:numId w:val="0"/>
        </w:numPr>
        <w:ind w:firstLine="420" w:firstLineChars="200"/>
        <w:jc w:val="both"/>
        <w:rPr>
          <w:rFonts w:hint="default"/>
          <w:lang w:val="en-US" w:eastAsia="zh-CN"/>
        </w:rPr>
      </w:pPr>
      <w:r>
        <w:rPr>
          <w:rFonts w:hint="eastAsia"/>
          <w:lang w:val="en-US" w:eastAsia="zh-CN"/>
        </w:rPr>
        <w:t>Ⅰ：经常账户逆差&amp;通货膨胀</w:t>
      </w:r>
    </w:p>
    <w:p>
      <w:pPr>
        <w:widowControl w:val="0"/>
        <w:numPr>
          <w:ilvl w:val="0"/>
          <w:numId w:val="0"/>
        </w:numPr>
        <w:ind w:firstLine="420" w:firstLineChars="200"/>
        <w:jc w:val="both"/>
        <w:rPr>
          <w:rFonts w:hint="default"/>
          <w:lang w:val="en-US" w:eastAsia="zh-CN"/>
        </w:rPr>
      </w:pPr>
      <w:r>
        <w:rPr>
          <w:rFonts w:hint="eastAsia"/>
          <w:lang w:val="en-US" w:eastAsia="zh-CN"/>
        </w:rPr>
        <w:t>Ⅱ：经常账户逆差&amp;失业</w:t>
      </w:r>
    </w:p>
    <w:p>
      <w:pPr>
        <w:widowControl w:val="0"/>
        <w:numPr>
          <w:ilvl w:val="0"/>
          <w:numId w:val="0"/>
        </w:numPr>
        <w:ind w:firstLine="420" w:firstLineChars="200"/>
        <w:jc w:val="both"/>
        <w:rPr>
          <w:rFonts w:hint="default"/>
          <w:lang w:val="en-US" w:eastAsia="zh-CN"/>
        </w:rPr>
      </w:pPr>
      <w:r>
        <w:rPr>
          <w:rFonts w:hint="eastAsia"/>
          <w:lang w:val="en-US" w:eastAsia="zh-CN"/>
        </w:rPr>
        <w:t>Ⅲ：经常账户顺差&amp;失业</w:t>
      </w:r>
    </w:p>
    <w:p>
      <w:pPr>
        <w:widowControl w:val="0"/>
        <w:numPr>
          <w:ilvl w:val="0"/>
          <w:numId w:val="0"/>
        </w:numPr>
        <w:ind w:firstLine="420" w:firstLineChars="200"/>
        <w:jc w:val="both"/>
        <w:rPr>
          <w:rFonts w:hint="eastAsia"/>
          <w:lang w:val="en-US" w:eastAsia="zh-CN"/>
        </w:rPr>
      </w:pPr>
      <w:r>
        <w:rPr>
          <w:rFonts w:hint="eastAsia"/>
          <w:lang w:val="en-US" w:eastAsia="zh-CN"/>
        </w:rPr>
        <w:t>Ⅳ：经常账户顺差&amp;通货膨胀</w:t>
      </w:r>
    </w:p>
    <w:p>
      <w:pPr>
        <w:widowControl w:val="0"/>
        <w:numPr>
          <w:ilvl w:val="0"/>
          <w:numId w:val="0"/>
        </w:numPr>
        <w:jc w:val="both"/>
        <w:rPr>
          <w:rFonts w:hint="eastAsia"/>
          <w:lang w:val="en-US" w:eastAsia="zh-CN"/>
        </w:rPr>
      </w:pPr>
      <w:r>
        <w:rPr>
          <w:rFonts w:hint="eastAsia"/>
          <w:lang w:val="en-US" w:eastAsia="zh-CN"/>
        </w:rPr>
        <w:t>EB线：上侧——顺差；下侧——逆差</w:t>
      </w:r>
    </w:p>
    <w:p>
      <w:pPr>
        <w:widowControl w:val="0"/>
        <w:numPr>
          <w:ilvl w:val="0"/>
          <w:numId w:val="0"/>
        </w:numPr>
        <w:jc w:val="both"/>
        <w:rPr>
          <w:rFonts w:hint="eastAsia"/>
          <w:lang w:val="en-US" w:eastAsia="zh-CN"/>
        </w:rPr>
      </w:pPr>
      <w:r>
        <w:rPr>
          <w:rFonts w:hint="eastAsia"/>
          <w:lang w:val="en-US" w:eastAsia="zh-CN"/>
        </w:rPr>
        <w:t>IB 线：下侧——失业；上侧——通胀</w:t>
      </w:r>
    </w:p>
    <w:p>
      <w:pPr>
        <w:widowControl w:val="0"/>
        <w:numPr>
          <w:ilvl w:val="0"/>
          <w:numId w:val="0"/>
        </w:numPr>
        <w:jc w:val="both"/>
        <w:rPr>
          <w:rFonts w:hint="default"/>
          <w:lang w:val="en-US" w:eastAsia="zh-CN"/>
        </w:rPr>
      </w:pPr>
    </w:p>
    <w:p>
      <w:pPr>
        <w:widowControl w:val="0"/>
        <w:numPr>
          <w:ilvl w:val="0"/>
          <w:numId w:val="14"/>
        </w:numPr>
        <w:jc w:val="both"/>
        <w:rPr>
          <w:rFonts w:hint="default"/>
          <w:lang w:val="en-US" w:eastAsia="zh-CN"/>
        </w:rPr>
      </w:pPr>
      <w:r>
        <w:rPr>
          <w:rFonts w:hint="eastAsia"/>
          <w:lang w:val="en-US" w:eastAsia="zh-CN"/>
        </w:rPr>
        <w:t>每个空间如何搭配政策？【非对称位置单一政策均失效】</w:t>
      </w:r>
    </w:p>
    <w:p>
      <w:pPr>
        <w:widowControl w:val="0"/>
        <w:numPr>
          <w:ilvl w:val="0"/>
          <w:numId w:val="0"/>
        </w:numPr>
        <w:ind w:firstLine="420" w:firstLineChars="200"/>
        <w:jc w:val="both"/>
        <w:rPr>
          <w:rFonts w:hint="default"/>
          <w:lang w:val="en-US" w:eastAsia="zh-CN"/>
        </w:rPr>
      </w:pPr>
      <w:r>
        <w:rPr>
          <w:rFonts w:hint="eastAsia"/>
          <w:lang w:val="en-US" w:eastAsia="zh-CN"/>
        </w:rPr>
        <w:t>Ⅰ：紧缩型政策——（A）支出紧缩（内）+货币贬值（外）</w:t>
      </w:r>
    </w:p>
    <w:p>
      <w:pPr>
        <w:widowControl w:val="0"/>
        <w:numPr>
          <w:ilvl w:val="0"/>
          <w:numId w:val="0"/>
        </w:numPr>
        <w:ind w:firstLine="420" w:firstLineChars="200"/>
        <w:jc w:val="both"/>
        <w:rPr>
          <w:rFonts w:hint="default"/>
          <w:lang w:val="en-US" w:eastAsia="zh-CN"/>
        </w:rPr>
      </w:pPr>
      <w:r>
        <w:rPr>
          <w:rFonts w:hint="eastAsia"/>
          <w:lang w:val="en-US" w:eastAsia="zh-CN"/>
        </w:rPr>
        <w:t>Ⅲ：扩张型政策——（C）支出扩张（内）+货币升值（外）</w:t>
      </w:r>
    </w:p>
    <w:p>
      <w:pPr>
        <w:widowControl w:val="0"/>
        <w:numPr>
          <w:ilvl w:val="0"/>
          <w:numId w:val="0"/>
        </w:numPr>
        <w:ind w:firstLine="420" w:firstLineChars="200"/>
        <w:jc w:val="both"/>
        <w:rPr>
          <w:rFonts w:hint="default"/>
          <w:lang w:val="en-US" w:eastAsia="zh-CN"/>
        </w:rPr>
      </w:pPr>
      <w:r>
        <w:rPr>
          <w:rFonts w:hint="eastAsia"/>
          <w:lang w:val="en-US" w:eastAsia="zh-CN"/>
        </w:rPr>
        <w:t>支出转换政策（本币实际汇率）——外部失衡</w:t>
      </w:r>
    </w:p>
    <w:p>
      <w:pPr>
        <w:widowControl w:val="0"/>
        <w:numPr>
          <w:ilvl w:val="0"/>
          <w:numId w:val="0"/>
        </w:numPr>
        <w:ind w:firstLine="420" w:firstLineChars="200"/>
        <w:jc w:val="both"/>
        <w:rPr>
          <w:rFonts w:hint="default"/>
          <w:lang w:val="en-US" w:eastAsia="zh-CN"/>
        </w:rPr>
      </w:pPr>
      <w:r>
        <w:rPr>
          <w:rFonts w:hint="eastAsia"/>
          <w:lang w:val="en-US" w:eastAsia="zh-CN"/>
        </w:rPr>
        <w:t>支出增减政策（国内支出）——内部失衡</w:t>
      </w:r>
    </w:p>
    <w:p>
      <w:pPr>
        <w:widowControl w:val="0"/>
        <w:numPr>
          <w:ilvl w:val="0"/>
          <w:numId w:val="0"/>
        </w:numPr>
        <w:ind w:firstLine="420" w:firstLineChars="200"/>
        <w:jc w:val="both"/>
        <w:rPr>
          <w:rFonts w:hint="eastAsia"/>
          <w:lang w:val="en-US" w:eastAsia="zh-CN"/>
        </w:rPr>
      </w:pPr>
      <w:r>
        <w:rPr>
          <w:rFonts w:hint="eastAsia"/>
          <w:lang w:val="en-US" w:eastAsia="zh-CN"/>
        </w:rPr>
        <w:t>蒙代尔的汇率分派政策：</w:t>
      </w:r>
    </w:p>
    <w:p>
      <w:pPr>
        <w:widowControl w:val="0"/>
        <w:numPr>
          <w:ilvl w:val="0"/>
          <w:numId w:val="0"/>
        </w:numPr>
        <w:jc w:val="both"/>
        <w:rPr>
          <w:rFonts w:hint="eastAsia"/>
          <w:lang w:val="en-US" w:eastAsia="zh-CN"/>
        </w:rPr>
      </w:pPr>
      <w:r>
        <w:rPr>
          <w:rFonts w:hint="eastAsia"/>
          <w:color w:val="FF0000"/>
          <w:lang w:val="en-US" w:eastAsia="zh-CN"/>
        </w:rPr>
        <w:t>区分财政政策和货币政策不同效果</w:t>
      </w:r>
      <w:r>
        <w:rPr>
          <w:rFonts w:hint="eastAsia"/>
          <w:lang w:val="en-US" w:eastAsia="zh-CN"/>
        </w:rPr>
        <w:t>；</w:t>
      </w:r>
    </w:p>
    <w:p>
      <w:pPr>
        <w:widowControl w:val="0"/>
        <w:numPr>
          <w:ilvl w:val="0"/>
          <w:numId w:val="0"/>
        </w:numPr>
        <w:jc w:val="both"/>
        <w:rPr>
          <w:rFonts w:hint="eastAsia"/>
          <w:lang w:val="en-US" w:eastAsia="zh-CN"/>
        </w:rPr>
      </w:pPr>
      <w:r>
        <w:rPr>
          <w:rFonts w:hint="eastAsia"/>
          <w:b/>
          <w:bCs/>
          <w:lang w:val="en-US" w:eastAsia="zh-CN"/>
        </w:rPr>
        <w:t>货币政策</w:t>
      </w:r>
      <w:r>
        <w:rPr>
          <w:rFonts w:hint="eastAsia"/>
          <w:lang w:val="en-US" w:eastAsia="zh-CN"/>
        </w:rPr>
        <w:t>用来解决</w:t>
      </w:r>
      <w:r>
        <w:rPr>
          <w:rFonts w:hint="eastAsia"/>
          <w:b/>
          <w:bCs/>
          <w:lang w:val="en-US" w:eastAsia="zh-CN"/>
        </w:rPr>
        <w:t>外</w:t>
      </w:r>
      <w:r>
        <w:rPr>
          <w:rFonts w:hint="eastAsia"/>
          <w:lang w:val="en-US" w:eastAsia="zh-CN"/>
        </w:rPr>
        <w:t>部平衡问题最有效，而</w:t>
      </w:r>
      <w:r>
        <w:rPr>
          <w:rFonts w:hint="eastAsia"/>
          <w:b/>
          <w:bCs/>
          <w:lang w:val="en-US" w:eastAsia="zh-CN"/>
        </w:rPr>
        <w:t>财政政策</w:t>
      </w:r>
      <w:r>
        <w:rPr>
          <w:rFonts w:hint="eastAsia"/>
          <w:lang w:val="en-US" w:eastAsia="zh-CN"/>
        </w:rPr>
        <w:t>用来解决</w:t>
      </w:r>
      <w:r>
        <w:rPr>
          <w:rFonts w:hint="eastAsia"/>
          <w:b/>
          <w:bCs/>
          <w:lang w:val="en-US" w:eastAsia="zh-CN"/>
        </w:rPr>
        <w:t>内</w:t>
      </w:r>
      <w:r>
        <w:rPr>
          <w:rFonts w:hint="eastAsia"/>
          <w:lang w:val="en-US" w:eastAsia="zh-CN"/>
        </w:rPr>
        <w:t>部平衡问题最有效</w:t>
      </w:r>
    </w:p>
    <w:p>
      <w:pPr>
        <w:widowControl w:val="0"/>
        <w:numPr>
          <w:ilvl w:val="0"/>
          <w:numId w:val="0"/>
        </w:numPr>
        <w:jc w:val="both"/>
        <w:rPr>
          <w:rFonts w:hint="default"/>
          <w:lang w:val="en-US" w:eastAsia="zh-CN"/>
        </w:rPr>
      </w:pPr>
      <w:r>
        <w:rPr>
          <w:rFonts w:hint="eastAsia"/>
          <w:lang w:val="en-US" w:eastAsia="zh-CN"/>
        </w:rPr>
        <w:t>“有效市场分派原则”：</w:t>
      </w:r>
      <w:r>
        <w:rPr>
          <w:rFonts w:hint="default"/>
          <w:lang w:val="en-US" w:eastAsia="zh-CN"/>
        </w:rPr>
        <w:t>每一目标应指派给对</w:t>
      </w:r>
      <w:r>
        <w:rPr>
          <w:rFonts w:hint="eastAsia"/>
          <w:lang w:val="en-US" w:eastAsia="zh-CN"/>
        </w:rPr>
        <w:t>此</w:t>
      </w:r>
      <w:r>
        <w:rPr>
          <w:rFonts w:hint="default"/>
          <w:lang w:val="en-US" w:eastAsia="zh-CN"/>
        </w:rPr>
        <w:t>目标有相对最大的影响力</w:t>
      </w:r>
      <w:r>
        <w:rPr>
          <w:rFonts w:hint="eastAsia"/>
          <w:lang w:val="en-US" w:eastAsia="zh-CN"/>
        </w:rPr>
        <w:t>、</w:t>
      </w:r>
      <w:r>
        <w:rPr>
          <w:rFonts w:hint="default"/>
          <w:lang w:val="en-US" w:eastAsia="zh-CN"/>
        </w:rPr>
        <w:t>相对优势的工具</w:t>
      </w:r>
    </w:p>
    <w:p>
      <w:pPr>
        <w:widowControl w:val="0"/>
        <w:numPr>
          <w:ilvl w:val="0"/>
          <w:numId w:val="0"/>
        </w:numPr>
        <w:ind w:firstLine="420" w:firstLineChars="200"/>
        <w:jc w:val="both"/>
        <w:rPr>
          <w:rFonts w:hint="default"/>
          <w:lang w:val="en-US" w:eastAsia="zh-CN"/>
        </w:rPr>
      </w:pPr>
      <w:r>
        <w:rPr>
          <w:rFonts w:hint="eastAsia"/>
          <w:lang w:val="en-US" w:eastAsia="zh-CN"/>
        </w:rPr>
        <w:drawing>
          <wp:anchor distT="0" distB="0" distL="114300" distR="114300" simplePos="0" relativeHeight="251683840" behindDoc="0" locked="0" layoutInCell="1" allowOverlap="1">
            <wp:simplePos x="0" y="0"/>
            <wp:positionH relativeFrom="column">
              <wp:posOffset>-43180</wp:posOffset>
            </wp:positionH>
            <wp:positionV relativeFrom="paragraph">
              <wp:posOffset>67310</wp:posOffset>
            </wp:positionV>
            <wp:extent cx="5263515" cy="2846070"/>
            <wp:effectExtent l="0" t="0" r="19685" b="24130"/>
            <wp:wrapNone/>
            <wp:docPr id="29" name="图片 29" descr="截屏2024-06-13 20.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截屏2024-06-13 20.38.05"/>
                    <pic:cNvPicPr>
                      <a:picLocks noChangeAspect="1"/>
                    </pic:cNvPicPr>
                  </pic:nvPicPr>
                  <pic:blipFill>
                    <a:blip r:embed="rId20"/>
                    <a:stretch>
                      <a:fillRect/>
                    </a:stretch>
                  </pic:blipFill>
                  <pic:spPr>
                    <a:xfrm>
                      <a:off x="0" y="0"/>
                      <a:ext cx="5263515" cy="2846070"/>
                    </a:xfrm>
                    <a:prstGeom prst="rect">
                      <a:avLst/>
                    </a:prstGeom>
                  </pic:spPr>
                </pic:pic>
              </a:graphicData>
            </a:graphic>
          </wp:anchor>
        </w:drawing>
      </w:r>
    </w:p>
    <w:p>
      <w:pPr>
        <w:widowControl w:val="0"/>
        <w:numPr>
          <w:ilvl w:val="0"/>
          <w:numId w:val="0"/>
        </w:numPr>
        <w:ind w:firstLine="420" w:firstLineChars="200"/>
        <w:jc w:val="both"/>
        <w:rPr>
          <w:rFonts w:hint="default"/>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ind w:firstLine="420" w:firstLineChars="200"/>
        <w:jc w:val="both"/>
        <w:rPr>
          <w:rFonts w:hint="eastAsia"/>
          <w:lang w:val="en-US" w:eastAsia="zh-CN"/>
        </w:rPr>
      </w:pPr>
    </w:p>
    <w:p>
      <w:pPr>
        <w:widowControl w:val="0"/>
        <w:numPr>
          <w:ilvl w:val="0"/>
          <w:numId w:val="0"/>
        </w:numPr>
        <w:jc w:val="both"/>
        <w:rPr>
          <w:rFonts w:hint="eastAsia"/>
          <w:color w:val="0000FF"/>
          <w:highlight w:val="none"/>
          <w:lang w:val="en-US" w:eastAsia="zh-CN"/>
        </w:rPr>
      </w:pPr>
    </w:p>
    <w:p>
      <w:pPr>
        <w:widowControl w:val="0"/>
        <w:numPr>
          <w:ilvl w:val="0"/>
          <w:numId w:val="0"/>
        </w:numPr>
        <w:jc w:val="both"/>
        <w:rPr>
          <w:rFonts w:hint="eastAsia"/>
          <w:highlight w:val="none"/>
          <w:lang w:val="en-US" w:eastAsia="zh-CN"/>
        </w:rPr>
      </w:pPr>
      <w:r>
        <w:rPr>
          <w:rFonts w:hint="eastAsia"/>
          <w:color w:val="0000FF"/>
          <w:highlight w:val="none"/>
          <w:lang w:val="en-US" w:eastAsia="zh-CN"/>
        </w:rPr>
        <w:t>货币政策</w:t>
      </w:r>
      <w:r>
        <w:rPr>
          <w:rFonts w:hint="eastAsia"/>
          <w:highlight w:val="none"/>
          <w:lang w:val="en-US" w:eastAsia="zh-CN"/>
        </w:rPr>
        <w:t>对国际收支的影响是确定的</w:t>
      </w:r>
    </w:p>
    <w:p>
      <w:pPr>
        <w:widowControl w:val="0"/>
        <w:numPr>
          <w:ilvl w:val="0"/>
          <w:numId w:val="0"/>
        </w:numPr>
        <w:jc w:val="both"/>
        <w:rPr>
          <w:rFonts w:hint="default"/>
          <w:highlight w:val="none"/>
          <w:lang w:val="en-US" w:eastAsia="zh-CN"/>
        </w:rPr>
      </w:pPr>
      <w:r>
        <w:rPr>
          <w:rFonts w:hint="eastAsia"/>
          <w:i/>
          <w:iCs/>
          <w:highlight w:val="none"/>
          <w:lang w:val="en-US" w:eastAsia="zh-CN"/>
        </w:rPr>
        <w:t>紧缩货币——提高利率</w:t>
      </w:r>
    </w:p>
    <w:p>
      <w:pPr>
        <w:widowControl w:val="0"/>
        <w:numPr>
          <w:ilvl w:val="0"/>
          <w:numId w:val="0"/>
        </w:numPr>
        <w:jc w:val="both"/>
        <w:rPr>
          <w:rFonts w:hint="default"/>
          <w:b w:val="0"/>
          <w:bCs w:val="0"/>
          <w:i w:val="0"/>
          <w:iCs w:val="0"/>
          <w:u w:val="none"/>
          <w:lang w:val="en-US" w:eastAsia="zh-CN"/>
        </w:rPr>
      </w:pPr>
      <w:r>
        <w:rPr>
          <w:rFonts w:hint="eastAsia"/>
          <w:color w:val="0000FF"/>
          <w:highlight w:val="none"/>
          <w:lang w:val="en-US" w:eastAsia="zh-CN"/>
        </w:rPr>
        <w:t>财政政策</w:t>
      </w:r>
      <w:r>
        <w:rPr>
          <w:rFonts w:hint="eastAsia"/>
          <w:highlight w:val="none"/>
          <w:lang w:val="en-US" w:eastAsia="zh-CN"/>
        </w:rPr>
        <w:t>对国际收支的影响有两方面：</w:t>
      </w:r>
      <w:r>
        <w:rPr>
          <w:rFonts w:hint="eastAsia"/>
          <w:b/>
          <w:bCs/>
          <w:i/>
          <w:iCs/>
          <w:highlight w:val="none"/>
          <w:u w:val="single"/>
          <w:lang w:val="en-US" w:eastAsia="zh-CN"/>
        </w:rPr>
        <w:t>收入和利率效应。</w:t>
      </w:r>
      <w:r>
        <w:rPr>
          <w:rFonts w:hint="eastAsia"/>
          <w:b w:val="0"/>
          <w:bCs w:val="0"/>
          <w:i w:val="0"/>
          <w:iCs w:val="0"/>
          <w:highlight w:val="none"/>
          <w:u w:val="none"/>
          <w:lang w:val="en-US" w:eastAsia="zh-CN"/>
        </w:rPr>
        <w:t>（影响小于货币政策）</w:t>
      </w:r>
    </w:p>
    <w:p>
      <w:pPr>
        <w:widowControl w:val="0"/>
        <w:numPr>
          <w:ilvl w:val="0"/>
          <w:numId w:val="0"/>
        </w:numPr>
        <w:jc w:val="both"/>
        <w:rPr>
          <w:rFonts w:hint="eastAsia"/>
          <w:lang w:val="en-US" w:eastAsia="zh-CN"/>
        </w:rPr>
      </w:pPr>
      <w:r>
        <w:rPr>
          <w:rFonts w:hint="eastAsia"/>
          <w:i/>
          <w:iCs/>
          <w:lang w:val="en-US" w:eastAsia="zh-CN"/>
        </w:rPr>
        <w:t>紧缩财政——降低利率</w:t>
      </w:r>
    </w:p>
    <w:p>
      <w:pPr>
        <w:widowControl w:val="0"/>
        <w:numPr>
          <w:ilvl w:val="0"/>
          <w:numId w:val="0"/>
        </w:numPr>
        <w:jc w:val="both"/>
        <w:rPr>
          <w:rFonts w:hint="eastAsia"/>
          <w:b/>
          <w:bCs/>
          <w:u w:val="single"/>
          <w:lang w:val="en-US" w:eastAsia="zh-CN"/>
        </w:rPr>
      </w:pPr>
    </w:p>
    <w:p>
      <w:pPr>
        <w:widowControl w:val="0"/>
        <w:numPr>
          <w:ilvl w:val="0"/>
          <w:numId w:val="0"/>
        </w:numPr>
        <w:jc w:val="both"/>
        <w:rPr>
          <w:rFonts w:hint="default"/>
          <w:lang w:val="en-US" w:eastAsia="zh-CN"/>
        </w:rPr>
      </w:pPr>
      <w:r>
        <w:rPr>
          <w:rFonts w:hint="eastAsia"/>
          <w:b/>
          <w:bCs/>
          <w:u w:val="single"/>
          <w:lang w:val="en-US" w:eastAsia="zh-CN"/>
        </w:rPr>
        <w:t>实现内外均衡的关键</w:t>
      </w:r>
      <w:r>
        <w:rPr>
          <w:rFonts w:hint="eastAsia"/>
          <w:lang w:val="en-US" w:eastAsia="zh-CN"/>
        </w:rPr>
        <w:t>：维持汇率稳定与实现国内充分就业&amp;物价稳定之间相互矛盾的问题</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国际收支调节政策选择机理：e.g.预算赤字&amp;货币宽松——</w:t>
      </w:r>
      <w:r>
        <w:rPr>
          <w:rFonts w:hint="default"/>
          <w:lang w:val="en-US" w:eastAsia="zh-CN"/>
        </w:rPr>
        <w:t>&gt;</w:t>
      </w:r>
      <w:r>
        <w:rPr>
          <w:rFonts w:hint="eastAsia"/>
          <w:lang w:val="en-US" w:eastAsia="zh-CN"/>
        </w:rPr>
        <w:t>货币性收支失衡</w:t>
      </w:r>
    </w:p>
    <w:p>
      <w:pPr>
        <w:widowControl w:val="0"/>
        <w:numPr>
          <w:ilvl w:val="0"/>
          <w:numId w:val="16"/>
        </w:numPr>
        <w:jc w:val="both"/>
        <w:rPr>
          <w:rFonts w:hint="eastAsia"/>
          <w:lang w:val="en-US" w:eastAsia="zh-CN"/>
        </w:rPr>
      </w:pPr>
      <w:r>
        <w:rPr>
          <w:rFonts w:hint="eastAsia"/>
          <w:lang w:val="en-US" w:eastAsia="zh-CN"/>
        </w:rPr>
        <w:t>单一需求管理政策，会大幅削减财政赤字，减少货币供应，可能引发失业、经济衰退</w:t>
      </w:r>
    </w:p>
    <w:p>
      <w:pPr>
        <w:widowControl w:val="0"/>
        <w:numPr>
          <w:ilvl w:val="0"/>
          <w:numId w:val="16"/>
        </w:numPr>
        <w:jc w:val="both"/>
        <w:rPr>
          <w:rFonts w:hint="default"/>
          <w:lang w:val="en-US" w:eastAsia="zh-CN"/>
        </w:rPr>
      </w:pPr>
      <w:r>
        <w:rPr>
          <w:rFonts w:hint="eastAsia"/>
          <w:highlight w:val="yellow"/>
          <w:lang w:val="en-US" w:eastAsia="zh-CN"/>
        </w:rPr>
        <w:t>需求管理+外汇缓冲</w:t>
      </w:r>
      <w:r>
        <w:rPr>
          <w:rFonts w:hint="eastAsia"/>
          <w:lang w:val="en-US" w:eastAsia="zh-CN"/>
        </w:rPr>
        <w:t>：纠正逆差时，引发失业、社会动荡较轻，但官方储备流失</w:t>
      </w:r>
    </w:p>
    <w:p>
      <w:pPr>
        <w:widowControl w:val="0"/>
        <w:numPr>
          <w:ilvl w:val="0"/>
          <w:numId w:val="16"/>
        </w:numPr>
        <w:jc w:val="both"/>
        <w:rPr>
          <w:rFonts w:hint="default"/>
          <w:lang w:val="en-US" w:eastAsia="zh-CN"/>
        </w:rPr>
      </w:pPr>
      <w:r>
        <w:rPr>
          <w:rFonts w:hint="eastAsia"/>
          <w:highlight w:val="yellow"/>
          <w:lang w:val="en-US" w:eastAsia="zh-CN"/>
        </w:rPr>
        <w:t>需求管理+支出转换</w:t>
      </w:r>
      <w:r>
        <w:rPr>
          <w:rFonts w:hint="eastAsia"/>
          <w:lang w:val="en-US" w:eastAsia="zh-CN"/>
        </w:rPr>
        <w:t>：较小削减，但货币贬值，可能引发外汇市场混乱&amp;未来通胀</w:t>
      </w: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全球失衡：各国金融发展异质性的反映，美国赤字积累外部负债头寸，新兴市场国家盈余提供给美国无风险头寸，以获得稳定金融资产。</w:t>
      </w:r>
    </w:p>
    <w:p>
      <w:pPr>
        <w:widowControl w:val="0"/>
        <w:numPr>
          <w:ilvl w:val="0"/>
          <w:numId w:val="0"/>
        </w:numPr>
        <w:ind w:leftChars="100"/>
        <w:jc w:val="both"/>
        <w:rPr>
          <w:rFonts w:hint="default"/>
          <w:lang w:val="en-US" w:eastAsia="zh-CN"/>
        </w:rPr>
      </w:pPr>
      <w:r>
        <w:rPr>
          <w:rFonts w:hint="eastAsia"/>
          <w:color w:val="0000FF"/>
          <w:sz w:val="20"/>
          <w:szCs w:val="22"/>
          <w:lang w:val="en-US" w:eastAsia="zh-CN"/>
        </w:rPr>
        <w:t>人民币升值不能解决失衡问题，金融资产需求不变，反而会降低所持有的美国金融资产价值，产生估值效应，改变美国外部负债净值，减缓美国外部头寸压力，反而进一步加剧失衡。</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不同时间跨度，供给、需求、产出（收入）的关系：</w:t>
      </w:r>
    </w:p>
    <w:p>
      <w:pPr>
        <w:widowControl w:val="0"/>
        <w:numPr>
          <w:ilvl w:val="0"/>
          <w:numId w:val="0"/>
        </w:numPr>
        <w:jc w:val="both"/>
        <w:rPr>
          <w:rFonts w:hint="default"/>
          <w:lang w:val="en-US" w:eastAsia="zh-CN"/>
        </w:rPr>
      </w:pPr>
      <w:r>
        <w:rPr>
          <w:rFonts w:hint="eastAsia"/>
          <w:lang w:val="en-US" w:eastAsia="zh-CN"/>
        </w:rPr>
        <w:t>①短期：需求可变，总供给和潜在产出均不变，均衡国民收入固定；需求变动只能带来物价等名义变量的变动</w:t>
      </w:r>
    </w:p>
    <w:p>
      <w:pPr>
        <w:widowControl w:val="0"/>
        <w:numPr>
          <w:ilvl w:val="0"/>
          <w:numId w:val="0"/>
        </w:numPr>
        <w:jc w:val="both"/>
        <w:rPr>
          <w:rFonts w:hint="default"/>
          <w:lang w:val="en-US" w:eastAsia="zh-CN"/>
        </w:rPr>
      </w:pPr>
      <w:r>
        <w:rPr>
          <w:rFonts w:hint="eastAsia"/>
          <w:lang w:val="en-US" w:eastAsia="zh-CN"/>
        </w:rPr>
        <w:t>②中期：需求可变，总供给可变，生产率水平不变，潜在产出不变；需求增加，若生产要素未全部投入（全部生产要素总量不会显著增加），供给能增加，均衡国民收入就会上升</w:t>
      </w:r>
    </w:p>
    <w:p>
      <w:pPr>
        <w:widowControl w:val="0"/>
        <w:numPr>
          <w:ilvl w:val="0"/>
          <w:numId w:val="0"/>
        </w:numPr>
        <w:jc w:val="both"/>
        <w:rPr>
          <w:rFonts w:hint="eastAsia"/>
          <w:b/>
          <w:bCs/>
          <w:i/>
          <w:iCs/>
          <w:sz w:val="22"/>
          <w:szCs w:val="28"/>
          <w:highlight w:val="cyan"/>
          <w:lang w:val="en-US" w:eastAsia="zh-CN"/>
        </w:rPr>
      </w:pPr>
      <w:r>
        <w:rPr>
          <w:rFonts w:hint="eastAsia"/>
          <w:lang w:val="en-US" w:eastAsia="zh-CN"/>
        </w:rPr>
        <w:t>③长期：需求、供给、潜在产出均能变动；需求增加，全部生产要素总量和生产率水平均会增加，潜在产出也增加。</w:t>
      </w: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r>
        <w:rPr>
          <w:rFonts w:hint="eastAsia"/>
          <w:highlight w:val="none"/>
          <w:lang w:val="en-US" w:eastAsia="zh-CN"/>
        </w:rPr>
        <w:t>其他因素不变，本国国民收入增加，本国物价下跌，本国货币升值</w:t>
      </w: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default"/>
          <w:b/>
          <w:bCs/>
          <w:i/>
          <w:iCs/>
          <w:sz w:val="22"/>
          <w:szCs w:val="28"/>
          <w:highlight w:val="cyan"/>
          <w:lang w:val="en-US" w:eastAsia="zh-CN"/>
        </w:rPr>
      </w:pPr>
      <w:r>
        <w:rPr>
          <w:rFonts w:hint="eastAsia"/>
          <w:b/>
          <w:bCs/>
          <w:i/>
          <w:iCs/>
          <w:sz w:val="22"/>
          <w:szCs w:val="28"/>
          <w:highlight w:val="cyan"/>
          <w:lang w:val="en-US" w:eastAsia="zh-CN"/>
        </w:rPr>
        <w:t>蒙代尔-弗莱明模型</w:t>
      </w:r>
      <w:r>
        <w:rPr>
          <w:rFonts w:hint="eastAsia"/>
          <w:b w:val="0"/>
          <w:bCs w:val="0"/>
          <w:i w:val="0"/>
          <w:iCs w:val="0"/>
          <w:sz w:val="20"/>
          <w:szCs w:val="22"/>
          <w:highlight w:val="none"/>
          <w:lang w:val="en-US" w:eastAsia="zh-CN"/>
        </w:rPr>
        <w:t>【流量分析】</w:t>
      </w:r>
    </w:p>
    <w:p>
      <w:pPr>
        <w:widowControl w:val="0"/>
        <w:numPr>
          <w:ilvl w:val="0"/>
          <w:numId w:val="0"/>
        </w:numPr>
        <w:jc w:val="both"/>
        <w:rPr>
          <w:rFonts w:hint="default"/>
          <w:b w:val="0"/>
          <w:bCs w:val="0"/>
          <w:i w:val="0"/>
          <w:iCs w:val="0"/>
          <w:sz w:val="20"/>
          <w:szCs w:val="22"/>
          <w:highlight w:val="none"/>
          <w:lang w:val="en-US" w:eastAsia="zh-CN"/>
        </w:rPr>
      </w:pPr>
      <w:r>
        <w:rPr>
          <w:rFonts w:hint="eastAsia"/>
          <w:b w:val="0"/>
          <w:bCs w:val="0"/>
          <w:i w:val="0"/>
          <w:iCs w:val="0"/>
          <w:sz w:val="20"/>
          <w:szCs w:val="22"/>
          <w:highlight w:val="none"/>
          <w:lang w:val="en-US" w:eastAsia="zh-CN"/>
        </w:rPr>
        <w:t>（小型开放经济，不同的资本流动程度下，固定汇率制和浮动汇率制下的财政货币政策搭配问题）</w:t>
      </w:r>
      <w:r>
        <w:rPr>
          <w:rFonts w:hint="eastAsia" w:asciiTheme="minorHAnsi" w:eastAsiaTheme="minorEastAsia"/>
          <w:b/>
          <w:bCs/>
          <w:highlight w:val="none"/>
          <w:lang w:val="en-US" w:eastAsia="zh-CN"/>
        </w:rPr>
        <w:t>假定条件</w:t>
      </w:r>
      <w:r>
        <w:rPr>
          <w:rFonts w:hint="eastAsia" w:asciiTheme="minorHAnsi" w:eastAsiaTheme="minorEastAsia"/>
          <w:highlight w:val="none"/>
          <w:lang w:val="en-US" w:eastAsia="zh-CN"/>
        </w:rPr>
        <w:t>：</w:t>
      </w:r>
      <w:r>
        <w:rPr>
          <w:rFonts w:hint="eastAsia"/>
          <w:sz w:val="16"/>
          <w:szCs w:val="20"/>
          <w:highlight w:val="none"/>
          <w:lang w:val="en-US" w:eastAsia="zh-CN"/>
        </w:rPr>
        <w:t xml:space="preserve">✓ </w:t>
      </w:r>
      <w:r>
        <w:rPr>
          <w:rFonts w:hint="eastAsia"/>
          <w:highlight w:val="none"/>
          <w:lang w:val="en-US" w:eastAsia="zh-CN"/>
        </w:rPr>
        <w:t>总供给曲线平缓——产出完全由需求决定</w:t>
      </w:r>
    </w:p>
    <w:p>
      <w:pPr>
        <w:widowControl w:val="0"/>
        <w:numPr>
          <w:ilvl w:val="0"/>
          <w:numId w:val="17"/>
        </w:numPr>
        <w:ind w:left="1470" w:leftChars="0" w:hanging="420" w:firstLineChars="0"/>
        <w:jc w:val="both"/>
        <w:rPr>
          <w:rFonts w:hint="default"/>
          <w:highlight w:val="none"/>
          <w:lang w:val="en-US" w:eastAsia="zh-CN"/>
        </w:rPr>
      </w:pPr>
      <w:r>
        <w:rPr>
          <w:rFonts w:hint="eastAsia" w:asciiTheme="minorHAnsi" w:eastAsiaTheme="minorEastAsia"/>
          <w:highlight w:val="none"/>
          <w:lang w:val="en-US" w:eastAsia="zh-CN"/>
        </w:rPr>
        <w:t>购买力平价不存在</w:t>
      </w:r>
      <w:r>
        <w:rPr>
          <w:rFonts w:hint="eastAsia"/>
          <w:highlight w:val="none"/>
          <w:lang w:val="en-US" w:eastAsia="zh-CN"/>
        </w:rPr>
        <w:t>——浮动汇率下，汇率完全由国际收支状况进行调整</w:t>
      </w:r>
    </w:p>
    <w:p>
      <w:pPr>
        <w:widowControl w:val="0"/>
        <w:numPr>
          <w:ilvl w:val="0"/>
          <w:numId w:val="17"/>
        </w:numPr>
        <w:ind w:left="1470" w:leftChars="0" w:hanging="420" w:firstLineChars="0"/>
        <w:jc w:val="both"/>
        <w:rPr>
          <w:rFonts w:hint="default"/>
          <w:highlight w:val="none"/>
          <w:lang w:val="en-US" w:eastAsia="zh-CN"/>
        </w:rPr>
      </w:pPr>
      <w:r>
        <w:rPr>
          <w:rFonts w:hint="eastAsia" w:asciiTheme="minorHAnsi" w:eastAsiaTheme="minorEastAsia"/>
          <w:highlight w:val="none"/>
          <w:lang w:val="en-US" w:eastAsia="zh-CN"/>
        </w:rPr>
        <w:t>资本流动不完全</w:t>
      </w:r>
    </w:p>
    <w:p>
      <w:pPr>
        <w:widowControl w:val="0"/>
        <w:numPr>
          <w:ilvl w:val="0"/>
          <w:numId w:val="17"/>
        </w:numPr>
        <w:ind w:left="1470" w:leftChars="0" w:hanging="420" w:firstLineChars="0"/>
        <w:jc w:val="both"/>
        <w:rPr>
          <w:rFonts w:hint="default"/>
          <w:highlight w:val="none"/>
          <w:lang w:val="en-US" w:eastAsia="zh-CN"/>
        </w:rPr>
      </w:pPr>
      <w:r>
        <w:rPr>
          <w:rFonts w:hint="eastAsia" w:asciiTheme="minorHAnsi" w:eastAsiaTheme="minorEastAsia"/>
          <w:highlight w:val="none"/>
          <w:lang w:val="en-US" w:eastAsia="zh-CN"/>
        </w:rPr>
        <w:t>国内外相对物价和汇率不变，汇率预期为静态，出口X可视为外生变量</w:t>
      </w:r>
    </w:p>
    <w:p>
      <w:pPr>
        <w:widowControl w:val="0"/>
        <w:numPr>
          <w:ilvl w:val="0"/>
          <w:numId w:val="17"/>
        </w:numPr>
        <w:ind w:left="1470" w:leftChars="0" w:hanging="420" w:firstLineChars="0"/>
        <w:jc w:val="both"/>
        <w:rPr>
          <w:rFonts w:hint="default"/>
          <w:highlight w:val="none"/>
          <w:lang w:val="en-US" w:eastAsia="zh-CN"/>
        </w:rPr>
      </w:pPr>
      <w:r>
        <w:rPr>
          <w:rFonts w:hint="eastAsia" w:asciiTheme="minorHAnsi" w:eastAsiaTheme="minorEastAsia"/>
          <w:highlight w:val="none"/>
          <w:lang w:val="en-US" w:eastAsia="zh-CN"/>
        </w:rPr>
        <w:t>CA账户盈余正相关于汇率，负相关于收入</w:t>
      </w:r>
    </w:p>
    <w:p>
      <w:pPr>
        <w:widowControl w:val="0"/>
        <w:numPr>
          <w:ilvl w:val="0"/>
          <w:numId w:val="0"/>
        </w:numPr>
        <w:jc w:val="both"/>
        <w:rPr>
          <w:rFonts w:hint="default" w:asciiTheme="minorHAnsi" w:eastAsiaTheme="minorEastAsia"/>
          <w:highlight w:val="none"/>
          <w:lang w:val="en-US" w:eastAsia="zh-CN"/>
        </w:rPr>
      </w:pPr>
      <w:r>
        <w:rPr>
          <w:rFonts w:hint="default"/>
          <w:highlight w:val="none"/>
          <w:lang w:val="en-US" w:eastAsia="zh-CN"/>
        </w:rPr>
        <w:drawing>
          <wp:anchor distT="0" distB="0" distL="114300" distR="114300" simplePos="0" relativeHeight="251684864" behindDoc="0" locked="0" layoutInCell="1" allowOverlap="1">
            <wp:simplePos x="0" y="0"/>
            <wp:positionH relativeFrom="column">
              <wp:posOffset>1123950</wp:posOffset>
            </wp:positionH>
            <wp:positionV relativeFrom="paragraph">
              <wp:posOffset>-85725</wp:posOffset>
            </wp:positionV>
            <wp:extent cx="3025140" cy="2332355"/>
            <wp:effectExtent l="0" t="0" r="22860" b="4445"/>
            <wp:wrapNone/>
            <wp:docPr id="17" name="图片 17" descr="截屏2024-05-15 11.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截屏2024-05-15 11.42.48"/>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3025140" cy="2332355"/>
                    </a:xfrm>
                    <a:prstGeom prst="rect">
                      <a:avLst/>
                    </a:prstGeom>
                  </pic:spPr>
                </pic:pic>
              </a:graphicData>
            </a:graphic>
          </wp:anchor>
        </w:drawing>
      </w: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IS 右移原因：①总需求扩张，如政府支出增加</w:t>
      </w: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 xml:space="preserve">             ②一国货币贬值</w:t>
      </w: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LM右移原因：①货币供应增加</w:t>
      </w:r>
    </w:p>
    <w:p>
      <w:pPr>
        <w:widowControl w:val="0"/>
        <w:numPr>
          <w:ilvl w:val="0"/>
          <w:numId w:val="0"/>
        </w:numPr>
        <w:jc w:val="both"/>
        <w:rPr>
          <w:rFonts w:hint="eastAsia"/>
          <w:highlight w:val="none"/>
          <w:lang w:val="en-US" w:eastAsia="zh-CN"/>
        </w:rPr>
      </w:pPr>
      <w:r>
        <w:rPr>
          <w:rFonts w:hint="eastAsia"/>
          <w:highlight w:val="none"/>
          <w:lang w:val="en-US" w:eastAsia="zh-CN"/>
        </w:rPr>
        <w:t xml:space="preserve">             ②货币需求下降</w:t>
      </w:r>
    </w:p>
    <w:p>
      <w:pPr>
        <w:widowControl w:val="0"/>
        <w:numPr>
          <w:ilvl w:val="0"/>
          <w:numId w:val="0"/>
        </w:numPr>
        <w:jc w:val="both"/>
        <w:rPr>
          <w:rFonts w:hint="eastAsia"/>
          <w:highlight w:val="none"/>
          <w:lang w:val="en-US" w:eastAsia="zh-CN"/>
        </w:rPr>
      </w:pPr>
      <w:r>
        <w:rPr>
          <w:rFonts w:hint="eastAsia"/>
          <w:highlight w:val="none"/>
          <w:lang w:val="en-US" w:eastAsia="zh-CN"/>
        </w:rPr>
        <w:t>BP斜率为正：国民收入水平上升，进口增加，经常账户CA恶化，要平衡恶化实现均衡，</w:t>
      </w:r>
    </w:p>
    <w:p>
      <w:pPr>
        <w:widowControl w:val="0"/>
        <w:numPr>
          <w:ilvl w:val="0"/>
          <w:numId w:val="0"/>
        </w:numPr>
        <w:ind w:firstLine="1470" w:firstLineChars="700"/>
        <w:jc w:val="both"/>
        <w:rPr>
          <w:rFonts w:hint="eastAsia"/>
          <w:highlight w:val="none"/>
          <w:lang w:val="en-US" w:eastAsia="zh-CN"/>
        </w:rPr>
      </w:pPr>
      <w:r>
        <w:rPr>
          <w:rFonts w:hint="eastAsia"/>
          <w:highlight w:val="none"/>
          <w:lang w:val="en-US" w:eastAsia="zh-CN"/>
        </w:rPr>
        <w:t>则要提高市场利率KA吸引资本流入。</w:t>
      </w:r>
    </w:p>
    <w:p>
      <w:pPr>
        <w:widowControl w:val="0"/>
        <w:numPr>
          <w:ilvl w:val="0"/>
          <w:numId w:val="0"/>
        </w:numPr>
        <w:jc w:val="both"/>
        <w:rPr>
          <w:rFonts w:hint="default"/>
          <w:highlight w:val="none"/>
          <w:lang w:val="en-US" w:eastAsia="zh-CN"/>
        </w:rPr>
      </w:pPr>
      <w:r>
        <w:rPr>
          <w:rFonts w:hint="eastAsia"/>
          <w:highlight w:val="none"/>
          <w:lang w:val="en-US" w:eastAsia="zh-CN"/>
        </w:rPr>
        <w:t>BP斜率：①边际进口倾向越大，斜率越大（模型中假定为常数）</w:t>
      </w:r>
    </w:p>
    <w:p>
      <w:pPr>
        <w:widowControl w:val="0"/>
        <w:numPr>
          <w:ilvl w:val="0"/>
          <w:numId w:val="0"/>
        </w:numPr>
        <w:ind w:firstLine="1050" w:firstLineChars="500"/>
        <w:jc w:val="both"/>
        <w:rPr>
          <w:rFonts w:hint="default"/>
          <w:highlight w:val="none"/>
          <w:lang w:val="en-US" w:eastAsia="zh-CN"/>
        </w:rPr>
      </w:pPr>
      <w:r>
        <w:rPr>
          <w:rFonts w:hint="eastAsia"/>
          <w:highlight w:val="none"/>
          <w:lang w:val="en-US" w:eastAsia="zh-CN"/>
        </w:rPr>
        <w:t>②国际资本流动的利率弹性越大，资本市场开放越大，斜率越小，BP越平</w:t>
      </w: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本币贬值，相对价格下降，通胀率低于外国水平，改善收支，BP右移</w:t>
      </w:r>
    </w:p>
    <w:p>
      <w:pPr>
        <w:widowControl w:val="0"/>
        <w:numPr>
          <w:ilvl w:val="0"/>
          <w:numId w:val="0"/>
        </w:numPr>
        <w:jc w:val="both"/>
        <w:rPr>
          <w:rFonts w:hint="eastAsia"/>
          <w:highlight w:val="none"/>
          <w:u w:val="single"/>
          <w:lang w:val="en-US" w:eastAsia="zh-CN"/>
        </w:rPr>
      </w:pPr>
    </w:p>
    <w:p>
      <w:pPr>
        <w:widowControl w:val="0"/>
        <w:numPr>
          <w:ilvl w:val="0"/>
          <w:numId w:val="0"/>
        </w:numPr>
        <w:jc w:val="both"/>
        <w:rPr>
          <w:rFonts w:hint="default" w:asciiTheme="minorHAnsi" w:eastAsiaTheme="minorEastAsia"/>
          <w:highlight w:val="yellow"/>
          <w:u w:val="single"/>
          <w:lang w:val="en-US" w:eastAsia="zh-CN"/>
        </w:rPr>
      </w:pPr>
      <w:r>
        <w:rPr>
          <w:rFonts w:hint="eastAsia"/>
          <w:highlight w:val="yellow"/>
          <w:u w:val="single"/>
          <w:lang w:val="en-US" w:eastAsia="zh-CN"/>
        </w:rPr>
        <w:t>模型请见笔记&amp;书P126（自己画图）</w:t>
      </w:r>
    </w:p>
    <w:p>
      <w:pPr>
        <w:widowControl w:val="0"/>
        <w:numPr>
          <w:ilvl w:val="0"/>
          <w:numId w:val="0"/>
        </w:numPr>
        <w:jc w:val="both"/>
        <w:rPr>
          <w:rFonts w:hint="eastAsia"/>
          <w:highlight w:val="none"/>
          <w:lang w:val="en-US" w:eastAsia="zh-CN"/>
        </w:rPr>
      </w:pPr>
      <w:r>
        <w:rPr>
          <w:rFonts w:hint="eastAsia"/>
          <w:highlight w:val="none"/>
          <w:lang w:val="en-US" w:eastAsia="zh-CN"/>
        </w:rPr>
        <w:t>固定汇率制下，无论资本状况，货币政策无效</w:t>
      </w:r>
    </w:p>
    <w:p>
      <w:pPr>
        <w:widowControl w:val="0"/>
        <w:numPr>
          <w:ilvl w:val="0"/>
          <w:numId w:val="0"/>
        </w:numPr>
        <w:jc w:val="both"/>
        <w:rPr>
          <w:rFonts w:hint="default"/>
          <w:highlight w:val="none"/>
          <w:lang w:val="en-US" w:eastAsia="zh-CN"/>
        </w:rPr>
      </w:pPr>
      <w:r>
        <w:rPr>
          <w:rFonts w:hint="eastAsia"/>
          <w:highlight w:val="none"/>
          <w:lang w:val="en-US" w:eastAsia="zh-CN"/>
        </w:rPr>
        <w:t>固定汇率制下，资本完全不流动，财政政策无效</w:t>
      </w: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浮动汇率制下，资本完全流动，财政政策无效</w:t>
      </w:r>
    </w:p>
    <w:p>
      <w:pPr>
        <w:widowControl w:val="0"/>
        <w:numPr>
          <w:ilvl w:val="0"/>
          <w:numId w:val="0"/>
        </w:numPr>
        <w:jc w:val="both"/>
        <w:rPr>
          <w:rFonts w:hint="eastAsia"/>
          <w:highlight w:val="none"/>
          <w:lang w:val="en-US" w:eastAsia="zh-CN"/>
        </w:rPr>
      </w:pPr>
      <w:r>
        <w:rPr>
          <w:rFonts w:hint="eastAsia"/>
          <w:highlight w:val="none"/>
          <w:lang w:val="en-US" w:eastAsia="zh-CN"/>
        </w:rPr>
        <w:drawing>
          <wp:anchor distT="0" distB="0" distL="114300" distR="114300" simplePos="0" relativeHeight="251686912" behindDoc="0" locked="0" layoutInCell="1" allowOverlap="1">
            <wp:simplePos x="0" y="0"/>
            <wp:positionH relativeFrom="column">
              <wp:posOffset>-20955</wp:posOffset>
            </wp:positionH>
            <wp:positionV relativeFrom="paragraph">
              <wp:posOffset>53340</wp:posOffset>
            </wp:positionV>
            <wp:extent cx="3336290" cy="1360805"/>
            <wp:effectExtent l="0" t="0" r="16510" b="10795"/>
            <wp:wrapNone/>
            <wp:docPr id="30" name="图片 30" descr="截屏2024-06-14 09.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截屏2024-06-14 09.37.30"/>
                    <pic:cNvPicPr>
                      <a:picLocks noChangeAspect="1"/>
                    </pic:cNvPicPr>
                  </pic:nvPicPr>
                  <pic:blipFill>
                    <a:blip r:embed="rId22"/>
                    <a:stretch>
                      <a:fillRect/>
                    </a:stretch>
                  </pic:blipFill>
                  <pic:spPr>
                    <a:xfrm>
                      <a:off x="0" y="0"/>
                      <a:ext cx="3336290" cy="1360805"/>
                    </a:xfrm>
                    <a:prstGeom prst="rect">
                      <a:avLst/>
                    </a:prstGeom>
                  </pic:spPr>
                </pic:pic>
              </a:graphicData>
            </a:graphic>
          </wp:anchor>
        </w:drawing>
      </w:r>
    </w:p>
    <w:p>
      <w:pPr>
        <w:widowControl w:val="0"/>
        <w:numPr>
          <w:ilvl w:val="0"/>
          <w:numId w:val="0"/>
        </w:numPr>
        <w:jc w:val="both"/>
        <w:rPr>
          <w:rFonts w:hint="eastAsia"/>
          <w:highlight w:val="none"/>
          <w:lang w:val="en-US" w:eastAsia="zh-CN"/>
        </w:rPr>
      </w:pPr>
    </w:p>
    <w:p>
      <w:pPr>
        <w:widowControl w:val="0"/>
        <w:numPr>
          <w:ilvl w:val="0"/>
          <w:numId w:val="0"/>
        </w:numPr>
        <w:jc w:val="both"/>
        <w:rPr>
          <w:rFonts w:hint="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三元悖论：在资本自由流动、汇率稳定、保持货币政策独立性三个目标中只能同时实现两个</w:t>
      </w:r>
    </w:p>
    <w:p>
      <w:pPr>
        <w:widowControl w:val="0"/>
        <w:numPr>
          <w:ilvl w:val="0"/>
          <w:numId w:val="0"/>
        </w:numPr>
        <w:jc w:val="both"/>
        <w:rPr>
          <w:rFonts w:hint="eastAsia"/>
          <w:highlight w:val="none"/>
          <w:lang w:val="en-US" w:eastAsia="zh-CN"/>
        </w:rPr>
      </w:pPr>
    </w:p>
    <w:p>
      <w:pPr>
        <w:widowControl w:val="0"/>
        <w:numPr>
          <w:ilvl w:val="0"/>
          <w:numId w:val="0"/>
        </w:numPr>
        <w:jc w:val="both"/>
        <w:rPr>
          <w:rFonts w:hint="default" w:asciiTheme="minorHAnsi" w:eastAsiaTheme="minorEastAsia"/>
          <w:highlight w:val="none"/>
          <w:lang w:val="en-US" w:eastAsia="zh-CN"/>
        </w:rPr>
      </w:pPr>
      <w:r>
        <w:rPr>
          <w:rFonts w:hint="eastAsia"/>
          <w:highlight w:val="none"/>
          <w:lang w:val="en-US" w:eastAsia="zh-CN"/>
        </w:rPr>
        <w:t>IMF的汇率制度分类：</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1.无独立法定货币的汇率安排（包括货币联盟、货币局和美元化）</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2.货币局制度</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3.其它传统的固定钉住制（包括管理浮动制下的实际钉住制）</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 xml:space="preserve">4.水平带内的钉住 </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 xml:space="preserve">5.爬行钉住 </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 xml:space="preserve">6.爬行带内的汇率安排 </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 xml:space="preserve">7.不事先公布干预方式的管理浮动 </w:t>
      </w:r>
    </w:p>
    <w:p>
      <w:pPr>
        <w:widowControl w:val="0"/>
        <w:numPr>
          <w:ilvl w:val="0"/>
          <w:numId w:val="0"/>
        </w:numPr>
        <w:jc w:val="both"/>
        <w:rPr>
          <w:rFonts w:hint="default" w:asciiTheme="minorHAnsi" w:eastAsiaTheme="minorEastAsia"/>
          <w:highlight w:val="none"/>
          <w:lang w:val="en-US" w:eastAsia="zh-CN"/>
        </w:rPr>
      </w:pPr>
      <w:r>
        <w:rPr>
          <w:rFonts w:hint="default" w:asciiTheme="minorHAnsi" w:eastAsiaTheme="minorEastAsia"/>
          <w:highlight w:val="none"/>
          <w:lang w:val="en-US" w:eastAsia="zh-CN"/>
        </w:rPr>
        <w:t>8.单独浮动</w:t>
      </w:r>
    </w:p>
    <w:p>
      <w:pPr>
        <w:widowControl w:val="0"/>
        <w:numPr>
          <w:ilvl w:val="0"/>
          <w:numId w:val="0"/>
        </w:numPr>
        <w:jc w:val="both"/>
        <w:rPr>
          <w:rFonts w:hint="default"/>
          <w:b/>
          <w:bCs/>
          <w:i/>
          <w:iCs/>
          <w:sz w:val="22"/>
          <w:szCs w:val="28"/>
          <w:highlight w:val="cyan"/>
          <w:lang w:val="en-US" w:eastAsia="zh-CN"/>
        </w:rPr>
      </w:pPr>
      <w:r>
        <w:rPr>
          <w:rFonts w:hint="eastAsia"/>
          <w:b/>
          <w:bCs/>
          <w:i/>
          <w:iCs/>
          <w:color w:val="FF0000"/>
          <w:sz w:val="22"/>
          <w:szCs w:val="28"/>
          <w:highlight w:val="none"/>
          <w:lang w:val="en-US" w:eastAsia="zh-CN"/>
        </w:rPr>
        <w:t>我国实行的是有管理的浮动汇率制</w:t>
      </w:r>
    </w:p>
    <w:p>
      <w:pPr>
        <w:widowControl w:val="0"/>
        <w:numPr>
          <w:ilvl w:val="0"/>
          <w:numId w:val="0"/>
        </w:numPr>
        <w:jc w:val="both"/>
        <w:rPr>
          <w:rFonts w:hint="default"/>
          <w:b/>
          <w:bCs/>
          <w:i/>
          <w:iCs/>
          <w:sz w:val="22"/>
          <w:szCs w:val="28"/>
          <w:highlight w:val="cyan"/>
          <w:lang w:val="en-US" w:eastAsia="zh-CN"/>
        </w:rPr>
      </w:pPr>
      <w:r>
        <w:rPr>
          <w:rFonts w:hint="eastAsia"/>
          <w:b/>
          <w:bCs/>
          <w:i/>
          <w:iCs/>
          <w:sz w:val="22"/>
          <w:szCs w:val="28"/>
          <w:highlight w:val="cyan"/>
          <w:lang w:val="en-US" w:eastAsia="zh-CN"/>
        </w:rPr>
        <w:t xml:space="preserve">固定汇率制与浮动汇率制的优劣比较【简答】 </w:t>
      </w:r>
      <w:r>
        <w:rPr>
          <w:rFonts w:hint="eastAsia"/>
          <w:highlight w:val="none"/>
          <w:lang w:val="en-US" w:eastAsia="zh-CN"/>
        </w:rPr>
        <w:t>灵活性&amp;可信性不可兼得</w:t>
      </w:r>
    </w:p>
    <w:p>
      <w:pPr>
        <w:widowControl w:val="0"/>
        <w:numPr>
          <w:ilvl w:val="0"/>
          <w:numId w:val="18"/>
        </w:numPr>
        <w:jc w:val="both"/>
        <w:rPr>
          <w:rFonts w:hint="eastAsia"/>
          <w:highlight w:val="none"/>
          <w:lang w:val="en-US" w:eastAsia="zh-CN"/>
        </w:rPr>
      </w:pPr>
      <w:r>
        <w:rPr>
          <w:rFonts w:hint="eastAsia"/>
          <w:highlight w:val="none"/>
          <w:lang w:val="en-US" w:eastAsia="zh-CN"/>
        </w:rPr>
        <w:t>实现内外均衡的自动调节效率比较</w:t>
      </w:r>
    </w:p>
    <w:p>
      <w:pPr>
        <w:widowControl w:val="0"/>
        <w:numPr>
          <w:ilvl w:val="0"/>
          <w:numId w:val="0"/>
        </w:numPr>
        <w:ind w:firstLine="210" w:firstLineChars="100"/>
        <w:jc w:val="both"/>
        <w:rPr>
          <w:rFonts w:hint="default"/>
          <w:highlight w:val="none"/>
          <w:lang w:val="en-US" w:eastAsia="zh-CN"/>
        </w:rPr>
      </w:pPr>
      <w:r>
        <w:rPr>
          <w:rFonts w:hint="eastAsia"/>
          <w:highlight w:val="none"/>
          <w:lang w:val="en-US" w:eastAsia="zh-CN"/>
        </w:rPr>
        <w:t>①单一性   ②自发性   ③微调性   ④稳定性</w:t>
      </w:r>
    </w:p>
    <w:p>
      <w:pPr>
        <w:widowControl w:val="0"/>
        <w:numPr>
          <w:ilvl w:val="0"/>
          <w:numId w:val="18"/>
        </w:numPr>
        <w:jc w:val="both"/>
        <w:rPr>
          <w:rFonts w:hint="default"/>
          <w:highlight w:val="none"/>
          <w:lang w:val="en-US" w:eastAsia="zh-CN"/>
        </w:rPr>
      </w:pPr>
      <w:r>
        <w:rPr>
          <w:rFonts w:hint="eastAsia"/>
          <w:highlight w:val="none"/>
          <w:lang w:val="en-US" w:eastAsia="zh-CN"/>
        </w:rPr>
        <w:t>实现内外均衡的政策利益比较</w:t>
      </w:r>
    </w:p>
    <w:p>
      <w:pPr>
        <w:widowControl w:val="0"/>
        <w:numPr>
          <w:ilvl w:val="0"/>
          <w:numId w:val="0"/>
        </w:numPr>
        <w:jc w:val="both"/>
        <w:rPr>
          <w:rFonts w:hint="eastAsia"/>
          <w:highlight w:val="none"/>
          <w:lang w:val="en-US" w:eastAsia="zh-CN"/>
        </w:rPr>
      </w:pPr>
      <w:r>
        <w:rPr>
          <w:rFonts w:hint="eastAsia"/>
          <w:highlight w:val="none"/>
          <w:lang w:val="en-US" w:eastAsia="zh-CN"/>
        </w:rPr>
        <w:t>①政策自主性   ②政策纪律性    ③政策放大性</w:t>
      </w:r>
    </w:p>
    <w:p>
      <w:pPr>
        <w:widowControl w:val="0"/>
        <w:numPr>
          <w:ilvl w:val="0"/>
          <w:numId w:val="18"/>
        </w:numPr>
        <w:ind w:left="0" w:leftChars="0" w:firstLine="0" w:firstLineChars="0"/>
        <w:jc w:val="both"/>
        <w:rPr>
          <w:rFonts w:hint="eastAsia"/>
          <w:highlight w:val="none"/>
          <w:lang w:val="en-US" w:eastAsia="zh-CN"/>
        </w:rPr>
      </w:pPr>
      <w:r>
        <w:rPr>
          <w:rFonts w:hint="eastAsia"/>
          <w:highlight w:val="none"/>
          <w:lang w:val="en-US" w:eastAsia="zh-CN"/>
        </w:rPr>
        <w:t>对国际经济关系的影响</w:t>
      </w:r>
    </w:p>
    <w:p>
      <w:pPr>
        <w:widowControl w:val="0"/>
        <w:numPr>
          <w:ilvl w:val="0"/>
          <w:numId w:val="0"/>
        </w:numPr>
        <w:ind w:leftChars="0"/>
        <w:jc w:val="both"/>
        <w:rPr>
          <w:rFonts w:hint="default"/>
          <w:highlight w:val="none"/>
          <w:lang w:val="en-US" w:eastAsia="zh-CN"/>
        </w:rPr>
      </w:pPr>
      <w:r>
        <w:rPr>
          <w:rFonts w:hint="eastAsia"/>
          <w:highlight w:val="none"/>
          <w:lang w:val="en-US" w:eastAsia="zh-CN"/>
        </w:rPr>
        <w:t>①对国际贸易、投资   ②对通货膨胀在国际传播   ③对国际间政策协调</w:t>
      </w:r>
    </w:p>
    <w:p>
      <w:pPr>
        <w:widowControl w:val="0"/>
        <w:numPr>
          <w:ilvl w:val="0"/>
          <w:numId w:val="0"/>
        </w:numPr>
        <w:jc w:val="both"/>
        <w:rPr>
          <w:rFonts w:hint="eastAsia"/>
          <w:b/>
          <w:bCs/>
          <w:i/>
          <w:iCs/>
          <w:sz w:val="22"/>
          <w:szCs w:val="28"/>
          <w:highlight w:val="cyan"/>
          <w:lang w:val="en-US" w:eastAsia="zh-CN"/>
        </w:rPr>
      </w:pPr>
      <w:r>
        <w:rPr>
          <w:rFonts w:hint="eastAsia"/>
          <w:b/>
          <w:bCs/>
          <w:i/>
          <w:iCs/>
          <w:sz w:val="22"/>
          <w:szCs w:val="28"/>
          <w:highlight w:val="cyan"/>
          <w:lang w:val="en-US" w:eastAsia="zh-CN"/>
        </w:rPr>
        <w:t>政府干预外汇市场的两个途径【简答】</w:t>
      </w:r>
    </w:p>
    <w:p>
      <w:pPr>
        <w:widowControl w:val="0"/>
        <w:numPr>
          <w:ilvl w:val="0"/>
          <w:numId w:val="0"/>
        </w:numPr>
        <w:jc w:val="both"/>
        <w:rPr>
          <w:rFonts w:hint="eastAsia"/>
          <w:highlight w:val="none"/>
          <w:lang w:val="en-US" w:eastAsia="zh-CN"/>
        </w:rPr>
      </w:pPr>
      <w:r>
        <w:rPr>
          <w:rFonts w:hint="eastAsia"/>
          <w:highlight w:val="none"/>
          <w:lang w:val="en-US" w:eastAsia="zh-CN"/>
        </w:rPr>
        <w:t>（1）资产调整效应：通过外汇市场上及相关的交易来改变各种资产的数量及结构，从而对汇率产生影响</w:t>
      </w:r>
    </w:p>
    <w:p>
      <w:pPr>
        <w:widowControl w:val="0"/>
        <w:numPr>
          <w:ilvl w:val="0"/>
          <w:numId w:val="0"/>
        </w:numPr>
        <w:jc w:val="both"/>
        <w:rPr>
          <w:rFonts w:hint="default"/>
          <w:color w:val="FF0000"/>
          <w:sz w:val="28"/>
          <w:szCs w:val="36"/>
          <w:highlight w:val="none"/>
          <w:lang w:val="en-US" w:eastAsia="zh-CN"/>
        </w:rPr>
      </w:pPr>
      <w:r>
        <w:rPr>
          <w:rFonts w:hint="eastAsia"/>
          <w:highlight w:val="none"/>
          <w:lang w:val="en-US" w:eastAsia="zh-CN"/>
        </w:rPr>
        <w:t>（2）信号效应：干预行为本身向市场发出信号，表明政府态度&amp;可能采取措施，影响市场参与者心理预期，达到实现汇率相应调整的目的</w:t>
      </w:r>
    </w:p>
    <w:p>
      <w:pPr>
        <w:rPr>
          <w:rFonts w:hint="default" w:eastAsiaTheme="minorEastAsia"/>
          <w:color w:val="FF0000"/>
          <w:sz w:val="28"/>
          <w:szCs w:val="36"/>
          <w:lang w:val="en-US" w:eastAsia="zh-CN"/>
        </w:rPr>
      </w:pPr>
      <w:r>
        <w:rPr>
          <w:rFonts w:hint="eastAsia"/>
          <w:color w:val="FF0000"/>
          <w:sz w:val="28"/>
          <w:szCs w:val="36"/>
          <w:lang w:val="en-US" w:eastAsia="zh-CN"/>
        </w:rPr>
        <w:t>笔记：冲销&amp;非冲销干预方式</w:t>
      </w:r>
    </w:p>
    <w:tbl>
      <w:tblPr>
        <w:tblStyle w:val="8"/>
        <w:tblpPr w:leftFromText="180" w:rightFromText="180" w:vertAnchor="text" w:horzAnchor="page" w:tblpX="1832"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c>
          <w:tcPr>
            <w:tcW w:w="2840" w:type="dxa"/>
            <w:shd w:val="clear" w:color="auto" w:fill="D7D7D7" w:themeFill="background1" w:themeFillShade="D8"/>
            <w:vAlign w:val="center"/>
          </w:tcPr>
          <w:p>
            <w:pPr>
              <w:widowControl w:val="0"/>
              <w:numPr>
                <w:ilvl w:val="0"/>
                <w:numId w:val="0"/>
              </w:numPr>
              <w:jc w:val="center"/>
              <w:rPr>
                <w:rFonts w:hint="default"/>
                <w:vertAlign w:val="baseline"/>
                <w:lang w:val="en-US" w:eastAsia="zh-CN"/>
              </w:rPr>
            </w:pPr>
            <w:r>
              <w:rPr>
                <w:rFonts w:hint="eastAsia"/>
                <w:vertAlign w:val="baseline"/>
                <w:lang w:val="en-US" w:eastAsia="zh-CN"/>
              </w:rPr>
              <w:t>政府对外汇市场的干预效应</w:t>
            </w:r>
          </w:p>
        </w:tc>
        <w:tc>
          <w:tcPr>
            <w:tcW w:w="2841" w:type="dxa"/>
            <w:shd w:val="clear" w:color="auto" w:fill="D7D7D7" w:themeFill="background1" w:themeFillShade="D8"/>
            <w:vAlign w:val="center"/>
          </w:tcPr>
          <w:p>
            <w:pPr>
              <w:widowControl w:val="0"/>
              <w:numPr>
                <w:ilvl w:val="0"/>
                <w:numId w:val="0"/>
              </w:numPr>
              <w:jc w:val="center"/>
              <w:rPr>
                <w:rFonts w:hint="eastAsia"/>
                <w:b/>
                <w:bCs/>
                <w:vertAlign w:val="baseline"/>
                <w:lang w:val="en-US" w:eastAsia="zh-CN"/>
              </w:rPr>
            </w:pPr>
            <w:r>
              <w:rPr>
                <w:rFonts w:hint="eastAsia"/>
                <w:b/>
                <w:bCs/>
                <w:vertAlign w:val="baseline"/>
                <w:lang w:val="en-US" w:eastAsia="zh-CN"/>
              </w:rPr>
              <w:t>货币模型</w:t>
            </w:r>
          </w:p>
          <w:p>
            <w:pPr>
              <w:widowControl w:val="0"/>
              <w:numPr>
                <w:ilvl w:val="0"/>
                <w:numId w:val="0"/>
              </w:numPr>
              <w:jc w:val="center"/>
              <w:rPr>
                <w:rFonts w:hint="default"/>
                <w:vertAlign w:val="baseline"/>
                <w:lang w:val="en-US" w:eastAsia="zh-CN"/>
              </w:rPr>
            </w:pPr>
            <w:r>
              <w:rPr>
                <w:rFonts w:hint="eastAsia"/>
                <w:sz w:val="18"/>
                <w:szCs w:val="18"/>
                <w:vertAlign w:val="baseline"/>
                <w:lang w:val="en-US" w:eastAsia="zh-CN"/>
              </w:rPr>
              <w:t>（完全可替代）</w:t>
            </w:r>
          </w:p>
        </w:tc>
        <w:tc>
          <w:tcPr>
            <w:tcW w:w="2841" w:type="dxa"/>
            <w:shd w:val="clear" w:color="auto" w:fill="D7D7D7" w:themeFill="background1" w:themeFillShade="D8"/>
            <w:vAlign w:val="center"/>
          </w:tcPr>
          <w:p>
            <w:pPr>
              <w:widowControl w:val="0"/>
              <w:numPr>
                <w:ilvl w:val="0"/>
                <w:numId w:val="0"/>
              </w:numPr>
              <w:jc w:val="center"/>
              <w:rPr>
                <w:rFonts w:hint="eastAsia"/>
                <w:b/>
                <w:bCs/>
                <w:vertAlign w:val="baseline"/>
                <w:lang w:val="en-US" w:eastAsia="zh-CN"/>
              </w:rPr>
            </w:pPr>
            <w:r>
              <w:rPr>
                <w:rFonts w:hint="eastAsia"/>
                <w:b/>
                <w:bCs/>
                <w:vertAlign w:val="baseline"/>
                <w:lang w:val="en-US" w:eastAsia="zh-CN"/>
              </w:rPr>
              <w:t>资产组合模型</w:t>
            </w:r>
          </w:p>
          <w:p>
            <w:pPr>
              <w:widowControl w:val="0"/>
              <w:numPr>
                <w:ilvl w:val="0"/>
                <w:numId w:val="0"/>
              </w:numPr>
              <w:jc w:val="center"/>
              <w:rPr>
                <w:rFonts w:hint="default"/>
                <w:vertAlign w:val="baseline"/>
                <w:lang w:val="en-US" w:eastAsia="zh-CN"/>
              </w:rPr>
            </w:pPr>
            <w:r>
              <w:rPr>
                <w:rFonts w:hint="eastAsia"/>
                <w:sz w:val="18"/>
                <w:szCs w:val="18"/>
                <w:vertAlign w:val="baseline"/>
                <w:lang w:val="en-US" w:eastAsia="zh-CN"/>
              </w:rPr>
              <w:t>（国内外资产不可完全替代）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D7D7D7" w:themeFill="background1" w:themeFillShade="D8"/>
            <w:vAlign w:val="center"/>
          </w:tcPr>
          <w:p>
            <w:pPr>
              <w:widowControl w:val="0"/>
              <w:numPr>
                <w:ilvl w:val="0"/>
                <w:numId w:val="0"/>
              </w:numPr>
              <w:jc w:val="center"/>
              <w:rPr>
                <w:rFonts w:hint="eastAsia"/>
                <w:vertAlign w:val="baseline"/>
                <w:lang w:val="en-US" w:eastAsia="zh-CN"/>
              </w:rPr>
            </w:pPr>
            <w:r>
              <w:rPr>
                <w:rFonts w:hint="eastAsia"/>
                <w:b/>
                <w:bCs/>
                <w:vertAlign w:val="baseline"/>
                <w:lang w:val="en-US" w:eastAsia="zh-CN"/>
              </w:rPr>
              <w:t>非冲销式干预</w:t>
            </w:r>
          </w:p>
          <w:p>
            <w:pPr>
              <w:widowControl w:val="0"/>
              <w:numPr>
                <w:ilvl w:val="0"/>
                <w:numId w:val="0"/>
              </w:numPr>
              <w:jc w:val="center"/>
              <w:rPr>
                <w:rFonts w:hint="default"/>
                <w:vertAlign w:val="baseline"/>
                <w:lang w:val="en-US" w:eastAsia="zh-CN"/>
              </w:rPr>
            </w:pPr>
            <w:r>
              <w:rPr>
                <w:rFonts w:hint="eastAsia"/>
                <w:sz w:val="18"/>
                <w:szCs w:val="18"/>
                <w:vertAlign w:val="baseline"/>
                <w:lang w:val="en-US" w:eastAsia="zh-CN"/>
              </w:rPr>
              <w:t>（在外汇市场上出售外币）</w:t>
            </w:r>
          </w:p>
        </w:tc>
        <w:tc>
          <w:tcPr>
            <w:tcW w:w="2841" w:type="dxa"/>
            <w:vAlign w:val="center"/>
          </w:tcPr>
          <w:p>
            <w:pPr>
              <w:widowControl w:val="0"/>
              <w:numPr>
                <w:ilvl w:val="0"/>
                <w:numId w:val="0"/>
              </w:numPr>
              <w:jc w:val="center"/>
              <w:rPr>
                <w:rFonts w:hint="default"/>
                <w:vertAlign w:val="baseline"/>
                <w:lang w:val="en-US" w:eastAsia="zh-CN"/>
              </w:rPr>
            </w:pPr>
            <w:r>
              <w:rPr>
                <w:rFonts w:hint="eastAsia"/>
                <w:vertAlign w:val="baseline"/>
                <w:lang w:val="en-US" w:eastAsia="zh-CN"/>
              </w:rPr>
              <w:t>有效</w:t>
            </w:r>
          </w:p>
        </w:tc>
        <w:tc>
          <w:tcPr>
            <w:tcW w:w="2841" w:type="dxa"/>
            <w:vAlign w:val="center"/>
          </w:tcPr>
          <w:p>
            <w:pPr>
              <w:widowControl w:val="0"/>
              <w:numPr>
                <w:ilvl w:val="0"/>
                <w:numId w:val="0"/>
              </w:numPr>
              <w:jc w:val="center"/>
              <w:rPr>
                <w:rFonts w:hint="default"/>
                <w:vertAlign w:val="baseline"/>
                <w:lang w:val="en-US" w:eastAsia="zh-CN"/>
              </w:rPr>
            </w:pPr>
            <w:r>
              <w:rPr>
                <w:rFonts w:hint="eastAsia"/>
                <w:vertAlign w:val="baseline"/>
                <w:lang w:val="en-US" w:eastAsia="zh-CN"/>
              </w:rPr>
              <w:t>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shd w:val="clear" w:color="auto" w:fill="D7D7D7" w:themeFill="background1" w:themeFillShade="D8"/>
            <w:vAlign w:val="center"/>
          </w:tcPr>
          <w:p>
            <w:pPr>
              <w:widowControl w:val="0"/>
              <w:numPr>
                <w:ilvl w:val="0"/>
                <w:numId w:val="0"/>
              </w:numPr>
              <w:jc w:val="center"/>
              <w:rPr>
                <w:rFonts w:hint="eastAsia"/>
                <w:b/>
                <w:bCs/>
                <w:vertAlign w:val="baseline"/>
                <w:lang w:val="en-US" w:eastAsia="zh-CN"/>
              </w:rPr>
            </w:pPr>
            <w:r>
              <w:rPr>
                <w:rFonts w:hint="eastAsia"/>
                <w:b/>
                <w:bCs/>
                <w:vertAlign w:val="baseline"/>
                <w:lang w:val="en-US" w:eastAsia="zh-CN"/>
              </w:rPr>
              <w:t>冲销式干预</w:t>
            </w:r>
          </w:p>
          <w:p>
            <w:pPr>
              <w:widowControl w:val="0"/>
              <w:numPr>
                <w:ilvl w:val="0"/>
                <w:numId w:val="0"/>
              </w:numPr>
              <w:jc w:val="center"/>
              <w:rPr>
                <w:rFonts w:hint="default"/>
                <w:vertAlign w:val="baseline"/>
                <w:lang w:val="en-US" w:eastAsia="zh-CN"/>
              </w:rPr>
            </w:pPr>
            <w:r>
              <w:rPr>
                <w:rFonts w:hint="eastAsia"/>
                <w:sz w:val="16"/>
                <w:szCs w:val="16"/>
                <w:vertAlign w:val="baseline"/>
                <w:lang w:val="en-US" w:eastAsia="zh-CN"/>
              </w:rPr>
              <w:t>（外汇市场出售外币+本国债券市场购买同等债券=货币供应量不变）</w:t>
            </w:r>
          </w:p>
        </w:tc>
        <w:tc>
          <w:tcPr>
            <w:tcW w:w="2841" w:type="dxa"/>
            <w:vAlign w:val="center"/>
          </w:tcPr>
          <w:p>
            <w:pPr>
              <w:widowControl w:val="0"/>
              <w:numPr>
                <w:ilvl w:val="0"/>
                <w:numId w:val="0"/>
              </w:numPr>
              <w:jc w:val="center"/>
              <w:rPr>
                <w:rFonts w:hint="default"/>
                <w:vertAlign w:val="baseline"/>
                <w:lang w:val="en-US" w:eastAsia="zh-CN"/>
              </w:rPr>
            </w:pPr>
            <w:r>
              <w:rPr>
                <w:rFonts w:hint="eastAsia"/>
                <w:vertAlign w:val="baseline"/>
                <w:lang w:val="en-US" w:eastAsia="zh-CN"/>
              </w:rPr>
              <w:t>无效</w:t>
            </w:r>
          </w:p>
        </w:tc>
        <w:tc>
          <w:tcPr>
            <w:tcW w:w="2841" w:type="dxa"/>
            <w:vAlign w:val="center"/>
          </w:tcPr>
          <w:p>
            <w:pPr>
              <w:widowControl w:val="0"/>
              <w:numPr>
                <w:ilvl w:val="0"/>
                <w:numId w:val="0"/>
              </w:numPr>
              <w:jc w:val="center"/>
              <w:rPr>
                <w:rFonts w:hint="default"/>
                <w:vertAlign w:val="baseline"/>
                <w:lang w:val="en-US" w:eastAsia="zh-CN"/>
              </w:rPr>
            </w:pPr>
            <w:r>
              <w:rPr>
                <w:rFonts w:hint="eastAsia"/>
                <w:vertAlign w:val="baseline"/>
                <w:lang w:val="en-US" w:eastAsia="zh-CN"/>
              </w:rPr>
              <w:t>有一定效果</w:t>
            </w:r>
          </w:p>
        </w:tc>
      </w:tr>
    </w:tbl>
    <w:p>
      <w:pPr>
        <w:widowControl w:val="0"/>
        <w:numPr>
          <w:ilvl w:val="0"/>
          <w:numId w:val="0"/>
        </w:numPr>
        <w:jc w:val="both"/>
        <w:rPr>
          <w:rFonts w:hint="eastAsia"/>
          <w:lang w:val="en-US" w:eastAsia="zh-CN"/>
        </w:rPr>
      </w:pPr>
    </w:p>
    <w:p>
      <w:pPr>
        <w:widowControl w:val="0"/>
        <w:numPr>
          <w:ilvl w:val="0"/>
          <w:numId w:val="0"/>
        </w:numPr>
        <w:jc w:val="both"/>
        <w:rPr>
          <w:rFonts w:hint="default"/>
          <w:b/>
          <w:bCs/>
          <w:i/>
          <w:iCs/>
          <w:sz w:val="22"/>
          <w:szCs w:val="28"/>
          <w:highlight w:val="cyan"/>
          <w:lang w:val="en-US" w:eastAsia="zh-CN"/>
        </w:rPr>
      </w:pPr>
      <w:r>
        <w:rPr>
          <w:rFonts w:hint="eastAsia"/>
          <w:lang w:val="en-US" w:eastAsia="zh-CN"/>
        </w:rPr>
        <w:t>汇率超调模型（粘性价格模型）——资产市场说</w:t>
      </w:r>
    </w:p>
    <w:p>
      <w:pPr>
        <w:widowControl w:val="0"/>
        <w:numPr>
          <w:ilvl w:val="0"/>
          <w:numId w:val="0"/>
        </w:numPr>
        <w:jc w:val="both"/>
        <w:rPr>
          <w:rFonts w:hint="eastAsia"/>
          <w:b/>
          <w:bCs/>
          <w:i/>
          <w:iCs/>
          <w:sz w:val="22"/>
          <w:szCs w:val="28"/>
          <w:highlight w:val="cyan"/>
          <w:lang w:val="en-US" w:eastAsia="zh-CN"/>
        </w:rPr>
      </w:pPr>
      <w:r>
        <w:rPr>
          <w:rFonts w:hint="default" w:eastAsiaTheme="minorEastAsia"/>
          <w:lang w:val="en-US" w:eastAsia="zh-CN"/>
        </w:rPr>
        <w:drawing>
          <wp:anchor distT="0" distB="0" distL="114300" distR="114300" simplePos="0" relativeHeight="251685888" behindDoc="0" locked="0" layoutInCell="1" allowOverlap="1">
            <wp:simplePos x="0" y="0"/>
            <wp:positionH relativeFrom="column">
              <wp:posOffset>24130</wp:posOffset>
            </wp:positionH>
            <wp:positionV relativeFrom="paragraph">
              <wp:posOffset>64770</wp:posOffset>
            </wp:positionV>
            <wp:extent cx="2748915" cy="1879600"/>
            <wp:effectExtent l="0" t="0" r="19685" b="0"/>
            <wp:wrapNone/>
            <wp:docPr id="28" name="图片 28" descr="截屏2024-06-06 16.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截屏2024-06-06 16.46.13"/>
                    <pic:cNvPicPr>
                      <a:picLocks noChangeAspect="1"/>
                    </pic:cNvPicPr>
                  </pic:nvPicPr>
                  <pic:blipFill>
                    <a:blip r:embed="rId23"/>
                    <a:stretch>
                      <a:fillRect/>
                    </a:stretch>
                  </pic:blipFill>
                  <pic:spPr>
                    <a:xfrm>
                      <a:off x="0" y="0"/>
                      <a:ext cx="2748915" cy="1879600"/>
                    </a:xfrm>
                    <a:prstGeom prst="rect">
                      <a:avLst/>
                    </a:prstGeom>
                  </pic:spPr>
                </pic:pic>
              </a:graphicData>
            </a:graphic>
          </wp:anchor>
        </w:drawing>
      </w: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p>
    <w:p>
      <w:pPr>
        <w:widowControl w:val="0"/>
        <w:numPr>
          <w:ilvl w:val="0"/>
          <w:numId w:val="0"/>
        </w:numPr>
        <w:jc w:val="both"/>
        <w:rPr>
          <w:rFonts w:hint="eastAsia"/>
          <w:b/>
          <w:bCs/>
          <w:i/>
          <w:iCs/>
          <w:sz w:val="22"/>
          <w:szCs w:val="28"/>
          <w:highlight w:val="cyan"/>
          <w:lang w:val="en-US" w:eastAsia="zh-CN"/>
        </w:rPr>
      </w:pPr>
      <w:r>
        <w:rPr>
          <w:rFonts w:hint="eastAsia"/>
          <w:b/>
          <w:bCs/>
          <w:i/>
          <w:iCs/>
          <w:sz w:val="22"/>
          <w:szCs w:val="28"/>
          <w:highlight w:val="cyan"/>
          <w:lang w:val="en-US" w:eastAsia="zh-CN"/>
        </w:rPr>
        <w:t>政策搭配</w:t>
      </w:r>
    </w:p>
    <w:p>
      <w:pPr>
        <w:widowControl w:val="0"/>
        <w:numPr>
          <w:ilvl w:val="0"/>
          <w:numId w:val="0"/>
        </w:numPr>
        <w:jc w:val="both"/>
        <w:rPr>
          <w:rFonts w:hint="eastAsia"/>
          <w:b/>
          <w:bCs/>
          <w:i/>
          <w:iCs/>
          <w:sz w:val="22"/>
          <w:szCs w:val="28"/>
          <w:highlight w:val="cyan"/>
          <w:lang w:val="en-US" w:eastAsia="zh-CN"/>
        </w:rPr>
      </w:pPr>
      <w:r>
        <w:rPr>
          <w:rFonts w:hint="eastAsia"/>
          <w:b/>
          <w:bCs/>
          <w:i/>
          <w:iCs/>
          <w:sz w:val="22"/>
          <w:szCs w:val="28"/>
          <w:highlight w:val="cyan"/>
          <w:lang w:val="en-US" w:eastAsia="zh-CN"/>
        </w:rPr>
        <w:t>国际间的政策协调</w:t>
      </w:r>
    </w:p>
    <w:p>
      <w:pPr>
        <w:widowControl w:val="0"/>
        <w:numPr>
          <w:ilvl w:val="0"/>
          <w:numId w:val="0"/>
        </w:numPr>
        <w:jc w:val="both"/>
        <w:rPr>
          <w:rFonts w:hint="eastAsia"/>
          <w:b/>
          <w:bCs/>
          <w:i/>
          <w:iCs/>
          <w:sz w:val="22"/>
          <w:szCs w:val="28"/>
          <w:highlight w:val="cyan"/>
          <w:lang w:val="en-US" w:eastAsia="zh-CN"/>
        </w:rPr>
      </w:pPr>
      <w:r>
        <w:rPr>
          <w:rFonts w:hint="eastAsia"/>
          <w:b/>
          <w:bCs/>
          <w:i/>
          <w:iCs/>
          <w:sz w:val="22"/>
          <w:szCs w:val="28"/>
          <w:highlight w:val="cyan"/>
          <w:lang w:val="en-US" w:eastAsia="zh-CN"/>
        </w:rPr>
        <w:t>汇率决定理论</w:t>
      </w:r>
    </w:p>
    <w:p>
      <w:pPr>
        <w:widowControl w:val="0"/>
        <w:numPr>
          <w:ilvl w:val="0"/>
          <w:numId w:val="0"/>
        </w:numPr>
        <w:jc w:val="both"/>
        <w:rPr>
          <w:rFonts w:hint="default"/>
          <w:b/>
          <w:bCs/>
          <w:i/>
          <w:iCs/>
          <w:sz w:val="22"/>
          <w:szCs w:val="28"/>
          <w:lang w:val="en-US" w:eastAsia="zh-CN"/>
        </w:rPr>
      </w:pPr>
    </w:p>
    <w:p>
      <w:pPr>
        <w:widowControl w:val="0"/>
        <w:numPr>
          <w:ilvl w:val="0"/>
          <w:numId w:val="0"/>
        </w:numPr>
        <w:jc w:val="both"/>
        <w:rPr>
          <w:rFonts w:hint="eastAsia"/>
          <w:b/>
          <w:bCs/>
          <w:i/>
          <w:iCs/>
          <w:sz w:val="22"/>
          <w:szCs w:val="28"/>
          <w:lang w:val="en-US" w:eastAsia="zh-CN"/>
        </w:rPr>
      </w:pPr>
      <w:r>
        <w:rPr>
          <w:rFonts w:hint="eastAsia"/>
          <w:b/>
          <w:bCs/>
          <w:i/>
          <w:iCs/>
          <w:sz w:val="22"/>
          <w:szCs w:val="28"/>
          <w:lang w:val="en-US" w:eastAsia="zh-CN"/>
        </w:rPr>
        <w:t>汇率制度选择</w:t>
      </w:r>
    </w:p>
    <w:p>
      <w:pPr>
        <w:widowControl w:val="0"/>
        <w:numPr>
          <w:ilvl w:val="0"/>
          <w:numId w:val="0"/>
        </w:numPr>
        <w:jc w:val="both"/>
        <w:rPr>
          <w:rFonts w:hint="default"/>
          <w:b/>
          <w:bCs/>
          <w:i w:val="0"/>
          <w:iCs w:val="0"/>
          <w:sz w:val="22"/>
          <w:szCs w:val="28"/>
          <w:lang w:val="en-US" w:eastAsia="zh-CN"/>
        </w:rPr>
      </w:pPr>
      <w:r>
        <w:rPr>
          <w:rFonts w:hint="eastAsia"/>
          <w:b/>
          <w:bCs/>
          <w:i w:val="0"/>
          <w:iCs w:val="0"/>
          <w:sz w:val="22"/>
          <w:szCs w:val="28"/>
          <w:lang w:val="en-US" w:eastAsia="zh-CN"/>
        </w:rPr>
        <w:t>最适货币区理论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蒙代尔</w:t>
            </w:r>
          </w:p>
        </w:tc>
        <w:tc>
          <w:tcPr>
            <w:tcW w:w="2841"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生产要素流动性越高的国家之间，越适合组成货币区</w:t>
            </w:r>
          </w:p>
        </w:tc>
        <w:tc>
          <w:tcPr>
            <w:tcW w:w="2841"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与国外生产要素市场隔绝越大，越适合本国单独组成一个货币区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麦金农</w:t>
            </w:r>
          </w:p>
        </w:tc>
        <w:tc>
          <w:tcPr>
            <w:tcW w:w="2841"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一国开放程度越高，越应该实行固定汇率制</w:t>
            </w:r>
          </w:p>
        </w:tc>
        <w:tc>
          <w:tcPr>
            <w:tcW w:w="2841"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越低，则浮动汇率制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vAlign w:val="center"/>
          </w:tcPr>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赫勒</w:t>
            </w:r>
          </w:p>
        </w:tc>
        <w:tc>
          <w:tcPr>
            <w:tcW w:w="2841" w:type="dxa"/>
            <w:vAlign w:val="center"/>
          </w:tcPr>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①经济开放程度高</w:t>
            </w:r>
          </w:p>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②经济规模小</w:t>
            </w:r>
          </w:p>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③进出口集中在</w:t>
            </w:r>
          </w:p>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某几种商品或某一国家</w:t>
            </w:r>
          </w:p>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——固定or钉住汇率制</w:t>
            </w:r>
          </w:p>
        </w:tc>
        <w:tc>
          <w:tcPr>
            <w:tcW w:w="2841" w:type="dxa"/>
            <w:vAlign w:val="center"/>
          </w:tcPr>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①经济开放程度低</w:t>
            </w:r>
          </w:p>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②进出口商品多样化</w:t>
            </w:r>
          </w:p>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③资本流出入较为可观、频繁</w:t>
            </w:r>
          </w:p>
          <w:p>
            <w:pPr>
              <w:widowControl w:val="0"/>
              <w:numPr>
                <w:ilvl w:val="0"/>
                <w:numId w:val="0"/>
              </w:numPr>
              <w:jc w:val="center"/>
              <w:rPr>
                <w:rFonts w:hint="eastAsia"/>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④国内通胀率与别国不一致</w:t>
            </w:r>
          </w:p>
          <w:p>
            <w:pPr>
              <w:widowControl w:val="0"/>
              <w:numPr>
                <w:ilvl w:val="0"/>
                <w:numId w:val="0"/>
              </w:numPr>
              <w:jc w:val="center"/>
              <w:rPr>
                <w:rFonts w:hint="default"/>
                <w:b w:val="0"/>
                <w:bCs w:val="0"/>
                <w:i w:val="0"/>
                <w:iCs w:val="0"/>
                <w:sz w:val="21"/>
                <w:szCs w:val="24"/>
                <w:vertAlign w:val="baseline"/>
                <w:lang w:val="en-US" w:eastAsia="zh-CN"/>
              </w:rPr>
            </w:pPr>
            <w:r>
              <w:rPr>
                <w:rFonts w:hint="eastAsia"/>
                <w:b w:val="0"/>
                <w:bCs w:val="0"/>
                <w:i w:val="0"/>
                <w:iCs w:val="0"/>
                <w:sz w:val="21"/>
                <w:szCs w:val="24"/>
                <w:vertAlign w:val="baseline"/>
                <w:lang w:val="en-US" w:eastAsia="zh-CN"/>
              </w:rPr>
              <w:t>——浮动or弹性汇率制</w:t>
            </w:r>
          </w:p>
        </w:tc>
      </w:tr>
    </w:tbl>
    <w:p>
      <w:pPr>
        <w:widowControl w:val="0"/>
        <w:numPr>
          <w:ilvl w:val="0"/>
          <w:numId w:val="0"/>
        </w:numPr>
        <w:jc w:val="both"/>
        <w:rPr>
          <w:rFonts w:hint="default"/>
          <w:b/>
          <w:bCs/>
          <w:i/>
          <w:iCs/>
          <w:sz w:val="22"/>
          <w:szCs w:val="28"/>
          <w:lang w:val="en-US" w:eastAsia="zh-CN"/>
        </w:rPr>
      </w:pPr>
    </w:p>
    <w:p>
      <w:pPr>
        <w:widowControl w:val="0"/>
        <w:numPr>
          <w:ilvl w:val="0"/>
          <w:numId w:val="0"/>
        </w:numPr>
        <w:jc w:val="both"/>
        <w:rPr>
          <w:rFonts w:hint="default"/>
          <w:b/>
          <w:bCs/>
          <w:i/>
          <w:iCs/>
          <w:sz w:val="22"/>
          <w:szCs w:val="28"/>
          <w:lang w:val="en-US" w:eastAsia="zh-CN"/>
        </w:rPr>
      </w:pPr>
    </w:p>
    <w:p>
      <w:pPr>
        <w:widowControl w:val="0"/>
        <w:numPr>
          <w:ilvl w:val="0"/>
          <w:numId w:val="0"/>
        </w:numPr>
        <w:jc w:val="both"/>
        <w:rPr>
          <w:rFonts w:hint="default"/>
          <w:b/>
          <w:bCs/>
          <w:i/>
          <w:iCs/>
          <w:sz w:val="22"/>
          <w:szCs w:val="28"/>
          <w:lang w:val="en-US" w:eastAsia="zh-CN"/>
        </w:rPr>
      </w:pPr>
    </w:p>
    <w:p>
      <w:pPr>
        <w:widowControl w:val="0"/>
        <w:numPr>
          <w:ilvl w:val="0"/>
          <w:numId w:val="0"/>
        </w:numPr>
        <w:jc w:val="both"/>
        <w:rPr>
          <w:rFonts w:hint="default"/>
          <w:b/>
          <w:bCs/>
          <w:i/>
          <w:iCs/>
          <w:sz w:val="22"/>
          <w:szCs w:val="28"/>
          <w:lang w:val="en-US" w:eastAsia="zh-CN"/>
        </w:rPr>
      </w:pPr>
      <w:r>
        <w:rPr>
          <w:rFonts w:hint="eastAsia"/>
          <w:b/>
          <w:bCs/>
          <w:i/>
          <w:iCs/>
          <w:sz w:val="22"/>
          <w:szCs w:val="28"/>
          <w:lang w:val="en-US" w:eastAsia="zh-CN"/>
        </w:rPr>
        <w:t>一国国际储备最主要的来源是经常项目顺差</w:t>
      </w:r>
    </w:p>
    <w:p>
      <w:pPr>
        <w:widowControl w:val="0"/>
        <w:numPr>
          <w:ilvl w:val="0"/>
          <w:numId w:val="0"/>
        </w:numPr>
        <w:jc w:val="both"/>
        <w:rPr>
          <w:rFonts w:hint="default"/>
          <w:b/>
          <w:bCs/>
          <w:i/>
          <w:iCs/>
          <w:sz w:val="22"/>
          <w:szCs w:val="28"/>
          <w:lang w:val="en-US" w:eastAsia="zh-CN"/>
        </w:rPr>
      </w:pPr>
    </w:p>
    <w:p>
      <w:pPr>
        <w:widowControl w:val="0"/>
        <w:numPr>
          <w:ilvl w:val="0"/>
          <w:numId w:val="0"/>
        </w:numPr>
        <w:jc w:val="both"/>
        <w:rPr>
          <w:rFonts w:hint="default"/>
          <w:b/>
          <w:bCs/>
          <w:i/>
          <w:iCs/>
          <w:sz w:val="22"/>
          <w:szCs w:val="28"/>
          <w:lang w:val="en-US" w:eastAsia="zh-CN"/>
        </w:rPr>
      </w:pPr>
    </w:p>
    <w:p>
      <w:pPr>
        <w:numPr>
          <w:ilvl w:val="0"/>
          <w:numId w:val="1"/>
        </w:numPr>
        <w:rPr>
          <w:rFonts w:hint="eastAsia"/>
          <w:b/>
          <w:bCs/>
          <w:i/>
          <w:iCs/>
          <w:sz w:val="22"/>
          <w:szCs w:val="28"/>
          <w:lang w:val="en-US" w:eastAsia="zh-CN"/>
        </w:rPr>
      </w:pPr>
      <w:r>
        <w:rPr>
          <w:rFonts w:hint="eastAsia"/>
          <w:b/>
          <w:bCs/>
          <w:i/>
          <w:iCs/>
          <w:sz w:val="22"/>
          <w:szCs w:val="28"/>
          <w:lang w:val="en-US" w:eastAsia="zh-CN"/>
        </w:rPr>
        <w:t>国际金融危机与开放宏观经济政策</w:t>
      </w:r>
    </w:p>
    <w:p>
      <w:pPr>
        <w:widowControl w:val="0"/>
        <w:numPr>
          <w:ilvl w:val="0"/>
          <w:numId w:val="0"/>
        </w:numPr>
        <w:jc w:val="both"/>
        <w:rPr>
          <w:rFonts w:hint="eastAsia"/>
          <w:b w:val="0"/>
          <w:bCs w:val="0"/>
          <w:i w:val="0"/>
          <w:iCs w:val="0"/>
          <w:color w:val="auto"/>
          <w:sz w:val="22"/>
          <w:szCs w:val="28"/>
          <w:lang w:val="en-US" w:eastAsia="zh-CN"/>
        </w:rPr>
      </w:pPr>
    </w:p>
    <w:p>
      <w:pPr>
        <w:widowControl w:val="0"/>
        <w:numPr>
          <w:ilvl w:val="0"/>
          <w:numId w:val="0"/>
        </w:numPr>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国际资本流动：资本从一个国家或地区转移到另一个国家或地区，</w:t>
      </w:r>
    </w:p>
    <w:p>
      <w:pPr>
        <w:widowControl w:val="0"/>
        <w:numPr>
          <w:ilvl w:val="0"/>
          <w:numId w:val="0"/>
        </w:numPr>
        <w:ind w:firstLine="1540" w:firstLineChars="700"/>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它主要反映在一个国家国际收支平衡表的</w:t>
      </w:r>
      <w:r>
        <w:rPr>
          <w:rFonts w:hint="eastAsia"/>
          <w:b/>
          <w:bCs/>
          <w:i w:val="0"/>
          <w:iCs w:val="0"/>
          <w:color w:val="auto"/>
          <w:sz w:val="22"/>
          <w:szCs w:val="28"/>
          <w:u w:val="single"/>
          <w:lang w:val="en-US" w:eastAsia="zh-CN"/>
        </w:rPr>
        <w:t>资本与金融账户</w:t>
      </w:r>
      <w:r>
        <w:rPr>
          <w:rFonts w:hint="eastAsia"/>
          <w:b w:val="0"/>
          <w:bCs w:val="0"/>
          <w:i w:val="0"/>
          <w:iCs w:val="0"/>
          <w:color w:val="auto"/>
          <w:sz w:val="22"/>
          <w:szCs w:val="28"/>
          <w:lang w:val="en-US" w:eastAsia="zh-CN"/>
        </w:rPr>
        <w:t>中。</w:t>
      </w:r>
    </w:p>
    <w:p>
      <w:pPr>
        <w:widowControl w:val="0"/>
        <w:numPr>
          <w:ilvl w:val="0"/>
          <w:numId w:val="0"/>
        </w:numPr>
        <w:jc w:val="both"/>
        <w:rPr>
          <w:rFonts w:hint="default"/>
          <w:b/>
          <w:bCs/>
          <w:i/>
          <w:iCs/>
          <w:sz w:val="22"/>
          <w:szCs w:val="28"/>
          <w:lang w:val="en-US" w:eastAsia="zh-CN"/>
        </w:rPr>
      </w:pPr>
      <w:r>
        <w:rPr>
          <w:rFonts w:hint="eastAsia"/>
          <w:b/>
          <w:bCs/>
          <w:i/>
          <w:iCs/>
          <w:sz w:val="22"/>
          <w:szCs w:val="28"/>
          <w:lang w:val="en-US" w:eastAsia="zh-CN"/>
        </w:rPr>
        <w:t>长期资本流动：直接投资、证券投资、国际贷款</w:t>
      </w:r>
    </w:p>
    <w:p>
      <w:pPr>
        <w:widowControl w:val="0"/>
        <w:numPr>
          <w:ilvl w:val="0"/>
          <w:numId w:val="0"/>
        </w:numPr>
        <w:jc w:val="both"/>
        <w:rPr>
          <w:rFonts w:hint="eastAsia"/>
          <w:b/>
          <w:bCs/>
          <w:i w:val="0"/>
          <w:iCs w:val="0"/>
          <w:sz w:val="22"/>
          <w:szCs w:val="28"/>
          <w:highlight w:val="cyan"/>
          <w:lang w:val="en-US" w:eastAsia="zh-CN"/>
        </w:rPr>
      </w:pPr>
      <w:r>
        <w:rPr>
          <w:rFonts w:hint="eastAsia"/>
          <w:b/>
          <w:bCs/>
          <w:i w:val="0"/>
          <w:iCs w:val="0"/>
          <w:sz w:val="22"/>
          <w:szCs w:val="28"/>
          <w:highlight w:val="cyan"/>
          <w:lang w:val="en-US" w:eastAsia="zh-CN"/>
        </w:rPr>
        <w:t>直接投资的三种类型：①创办新企业</w:t>
      </w:r>
    </w:p>
    <w:p>
      <w:pPr>
        <w:widowControl w:val="0"/>
        <w:numPr>
          <w:ilvl w:val="0"/>
          <w:numId w:val="0"/>
        </w:numPr>
        <w:ind w:firstLine="2202" w:firstLineChars="1000"/>
        <w:jc w:val="both"/>
        <w:rPr>
          <w:rFonts w:hint="eastAsia"/>
          <w:b/>
          <w:bCs/>
          <w:i w:val="0"/>
          <w:iCs w:val="0"/>
          <w:sz w:val="22"/>
          <w:szCs w:val="28"/>
          <w:highlight w:val="cyan"/>
          <w:lang w:val="en-US" w:eastAsia="zh-CN"/>
        </w:rPr>
      </w:pPr>
      <w:r>
        <w:rPr>
          <w:rFonts w:hint="eastAsia"/>
          <w:b/>
          <w:bCs/>
          <w:i w:val="0"/>
          <w:iCs w:val="0"/>
          <w:sz w:val="22"/>
          <w:szCs w:val="28"/>
          <w:highlight w:val="cyan"/>
          <w:lang w:val="en-US" w:eastAsia="zh-CN"/>
        </w:rPr>
        <w:t>②收购外企股权达到一定比例以上</w:t>
      </w:r>
      <w:r>
        <w:rPr>
          <w:rFonts w:hint="eastAsia"/>
          <w:b/>
          <w:bCs/>
          <w:i w:val="0"/>
          <w:iCs w:val="0"/>
          <w:color w:val="FF0000"/>
          <w:sz w:val="22"/>
          <w:szCs w:val="28"/>
          <w:highlight w:val="cyan"/>
          <w:lang w:val="en-US" w:eastAsia="zh-CN"/>
        </w:rPr>
        <w:t>10%</w:t>
      </w:r>
    </w:p>
    <w:p>
      <w:pPr>
        <w:widowControl w:val="0"/>
        <w:numPr>
          <w:ilvl w:val="0"/>
          <w:numId w:val="0"/>
        </w:numPr>
        <w:ind w:firstLine="2202" w:firstLineChars="1000"/>
        <w:jc w:val="both"/>
        <w:rPr>
          <w:rFonts w:hint="default"/>
          <w:b/>
          <w:bCs/>
          <w:i w:val="0"/>
          <w:iCs w:val="0"/>
          <w:sz w:val="22"/>
          <w:szCs w:val="28"/>
          <w:highlight w:val="cyan"/>
          <w:lang w:val="en-US" w:eastAsia="zh-CN"/>
        </w:rPr>
      </w:pPr>
      <w:r>
        <w:rPr>
          <w:rFonts w:hint="eastAsia"/>
          <w:b/>
          <w:bCs/>
          <w:i w:val="0"/>
          <w:iCs w:val="0"/>
          <w:sz w:val="22"/>
          <w:szCs w:val="28"/>
          <w:highlight w:val="cyan"/>
          <w:lang w:val="en-US" w:eastAsia="zh-CN"/>
        </w:rPr>
        <w:t>③利润再投资</w:t>
      </w:r>
    </w:p>
    <w:p>
      <w:pPr>
        <w:widowControl w:val="0"/>
        <w:numPr>
          <w:ilvl w:val="0"/>
          <w:numId w:val="0"/>
        </w:numPr>
        <w:jc w:val="both"/>
        <w:rPr>
          <w:rFonts w:hint="eastAsia"/>
          <w:b/>
          <w:bCs/>
          <w:i/>
          <w:iCs/>
          <w:sz w:val="22"/>
          <w:szCs w:val="28"/>
          <w:lang w:val="en-US" w:eastAsia="zh-CN"/>
        </w:rPr>
      </w:pPr>
      <w:r>
        <w:rPr>
          <w:rFonts w:hint="eastAsia"/>
          <w:b/>
          <w:bCs/>
          <w:i/>
          <w:iCs/>
          <w:sz w:val="22"/>
          <w:szCs w:val="28"/>
          <w:lang w:val="en-US" w:eastAsia="zh-CN"/>
        </w:rPr>
        <w:t>短期资本流动：套利性资金流动、避险性资金流动（资本外逃）、投机性资金流动</w:t>
      </w:r>
    </w:p>
    <w:p>
      <w:pPr>
        <w:widowControl w:val="0"/>
        <w:numPr>
          <w:ilvl w:val="0"/>
          <w:numId w:val="0"/>
        </w:numPr>
        <w:jc w:val="both"/>
        <w:rPr>
          <w:rFonts w:hint="eastAsia"/>
          <w:b w:val="0"/>
          <w:bCs w:val="0"/>
          <w:i w:val="0"/>
          <w:iCs w:val="0"/>
          <w:color w:val="auto"/>
          <w:sz w:val="22"/>
          <w:szCs w:val="28"/>
          <w:lang w:val="en-US" w:eastAsia="zh-CN"/>
        </w:rPr>
      </w:pPr>
    </w:p>
    <w:p>
      <w:pPr>
        <w:widowControl w:val="0"/>
        <w:numPr>
          <w:ilvl w:val="0"/>
          <w:numId w:val="0"/>
        </w:numPr>
        <w:jc w:val="both"/>
        <w:rPr>
          <w:rFonts w:hint="default"/>
          <w:b/>
          <w:bCs/>
          <w:i/>
          <w:iCs/>
          <w:sz w:val="22"/>
          <w:szCs w:val="28"/>
          <w:lang w:val="en-US" w:eastAsia="zh-CN"/>
        </w:rPr>
      </w:pPr>
      <w:r>
        <w:rPr>
          <w:rFonts w:hint="eastAsia"/>
          <w:b w:val="0"/>
          <w:bCs w:val="0"/>
          <w:i w:val="0"/>
          <w:iCs w:val="0"/>
          <w:color w:val="auto"/>
          <w:sz w:val="22"/>
          <w:szCs w:val="28"/>
          <w:lang w:val="en-US" w:eastAsia="zh-CN"/>
        </w:rPr>
        <w:t>新古典理论预测：生产率增长较高的国家会获得更多的净资本内流</w:t>
      </w:r>
    </w:p>
    <w:p>
      <w:pPr>
        <w:widowControl w:val="0"/>
        <w:numPr>
          <w:ilvl w:val="0"/>
          <w:numId w:val="0"/>
        </w:numPr>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卢卡斯之谜：</w:t>
      </w:r>
      <w:r>
        <w:rPr>
          <w:rFonts w:hint="default"/>
          <w:b w:val="0"/>
          <w:bCs w:val="0"/>
          <w:i w:val="0"/>
          <w:iCs w:val="0"/>
          <w:color w:val="auto"/>
          <w:sz w:val="22"/>
          <w:szCs w:val="28"/>
          <w:lang w:val="en-US" w:eastAsia="zh-CN"/>
        </w:rPr>
        <w:t>富国向穷国投资的资本规模远远没有达到新古典理论预测的水平，富国没有向穷国输出稀缺资本的现象</w:t>
      </w:r>
      <w:r>
        <w:rPr>
          <w:rFonts w:hint="eastAsia"/>
          <w:b w:val="0"/>
          <w:bCs w:val="0"/>
          <w:i w:val="0"/>
          <w:iCs w:val="0"/>
          <w:color w:val="auto"/>
          <w:sz w:val="22"/>
          <w:szCs w:val="28"/>
          <w:lang w:val="en-US" w:eastAsia="zh-CN"/>
        </w:rPr>
        <w:t>。</w:t>
      </w:r>
    </w:p>
    <w:p>
      <w:pPr>
        <w:widowControl w:val="0"/>
        <w:numPr>
          <w:ilvl w:val="0"/>
          <w:numId w:val="0"/>
        </w:numPr>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可能原因：</w:t>
      </w:r>
    </w:p>
    <w:p>
      <w:pPr>
        <w:widowControl w:val="0"/>
        <w:numPr>
          <w:ilvl w:val="0"/>
          <w:numId w:val="19"/>
        </w:numPr>
        <w:ind w:left="420" w:leftChars="0" w:hanging="420" w:firstLineChars="0"/>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一国净直接投资资本的流动方向和新古典增长模型预测的方向是一致的，而权益类投资的方向却是逆向流动的</w:t>
      </w:r>
    </w:p>
    <w:p>
      <w:pPr>
        <w:widowControl w:val="0"/>
        <w:numPr>
          <w:ilvl w:val="0"/>
          <w:numId w:val="19"/>
        </w:numPr>
        <w:ind w:left="420" w:leftChars="0" w:hanging="420" w:firstLineChars="0"/>
        <w:jc w:val="both"/>
        <w:rPr>
          <w:rFonts w:hint="eastAsia"/>
          <w:b/>
          <w:bCs/>
          <w:i/>
          <w:iCs/>
          <w:sz w:val="22"/>
          <w:szCs w:val="28"/>
          <w:lang w:val="en-US" w:eastAsia="zh-CN"/>
        </w:rPr>
      </w:pPr>
      <w:r>
        <w:rPr>
          <w:rFonts w:hint="eastAsia"/>
          <w:b w:val="0"/>
          <w:bCs w:val="0"/>
          <w:i w:val="0"/>
          <w:iCs w:val="0"/>
          <w:color w:val="auto"/>
          <w:sz w:val="22"/>
          <w:szCs w:val="28"/>
          <w:lang w:val="en-US" w:eastAsia="zh-CN"/>
        </w:rPr>
        <w:t>发达国家实际上是一个直接投资FDI的出口国，金融资本的进口国</w:t>
      </w:r>
    </w:p>
    <w:p>
      <w:pPr>
        <w:widowControl w:val="0"/>
        <w:numPr>
          <w:ilvl w:val="0"/>
          <w:numId w:val="19"/>
        </w:numPr>
        <w:ind w:left="420" w:leftChars="0" w:hanging="420" w:firstLineChars="0"/>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发达国家一般具备良好的金融制度环境，吸引外部资本流入</w:t>
      </w:r>
    </w:p>
    <w:p>
      <w:pPr>
        <w:widowControl w:val="0"/>
        <w:numPr>
          <w:ilvl w:val="0"/>
          <w:numId w:val="0"/>
        </w:numPr>
        <w:ind w:leftChars="0"/>
        <w:jc w:val="both"/>
        <w:rPr>
          <w:rFonts w:hint="eastAsia"/>
          <w:b/>
          <w:bCs/>
          <w:i/>
          <w:iCs/>
          <w:sz w:val="22"/>
          <w:szCs w:val="28"/>
          <w:lang w:val="en-US" w:eastAsia="zh-CN"/>
        </w:rPr>
      </w:pPr>
    </w:p>
    <w:p>
      <w:pPr>
        <w:widowControl w:val="0"/>
        <w:numPr>
          <w:ilvl w:val="0"/>
          <w:numId w:val="0"/>
        </w:numPr>
        <w:ind w:leftChars="0"/>
        <w:jc w:val="both"/>
        <w:rPr>
          <w:rFonts w:hint="eastAsia"/>
          <w:b/>
          <w:bCs/>
          <w:i/>
          <w:iCs/>
          <w:sz w:val="22"/>
          <w:szCs w:val="28"/>
          <w:lang w:val="en-US" w:eastAsia="zh-CN"/>
        </w:rPr>
      </w:pPr>
      <w:r>
        <w:rPr>
          <w:rFonts w:hint="eastAsia"/>
          <w:b/>
          <w:bCs/>
          <w:i/>
          <w:iCs/>
          <w:sz w:val="22"/>
          <w:szCs w:val="28"/>
          <w:lang w:val="en-US" w:eastAsia="zh-CN"/>
        </w:rPr>
        <w:t>国际金融危机</w:t>
      </w:r>
    </w:p>
    <w:p>
      <w:pPr>
        <w:widowControl w:val="0"/>
        <w:numPr>
          <w:ilvl w:val="0"/>
          <w:numId w:val="0"/>
        </w:numPr>
        <w:ind w:leftChars="0"/>
        <w:jc w:val="both"/>
        <w:rPr>
          <w:rFonts w:hint="default"/>
          <w:b w:val="0"/>
          <w:bCs w:val="0"/>
          <w:i w:val="0"/>
          <w:iCs w:val="0"/>
          <w:sz w:val="22"/>
          <w:szCs w:val="28"/>
          <w:lang w:val="en-US" w:eastAsia="zh-CN"/>
        </w:rPr>
      </w:pPr>
      <w:r>
        <w:rPr>
          <w:rFonts w:hint="eastAsia"/>
          <w:b/>
          <w:bCs/>
          <w:i w:val="0"/>
          <w:iCs w:val="0"/>
          <w:sz w:val="22"/>
          <w:szCs w:val="28"/>
          <w:lang w:val="en-US" w:eastAsia="zh-CN"/>
        </w:rPr>
        <w:t>*国际债务危机</w:t>
      </w:r>
      <w:r>
        <w:rPr>
          <w:rFonts w:hint="eastAsia"/>
          <w:b w:val="0"/>
          <w:bCs w:val="0"/>
          <w:i w:val="0"/>
          <w:iCs w:val="0"/>
          <w:sz w:val="22"/>
          <w:szCs w:val="28"/>
          <w:lang w:val="en-US" w:eastAsia="zh-CN"/>
        </w:rPr>
        <w:t>：主权国家在到期日未能支付本金or利息，包括消极债务重组</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根源：过渡放贷与过度借债；外部冲击；巨额外债敞口与汇率风险；</w:t>
      </w:r>
    </w:p>
    <w:p>
      <w:pPr>
        <w:widowControl w:val="0"/>
        <w:numPr>
          <w:ilvl w:val="0"/>
          <w:numId w:val="0"/>
        </w:numPr>
        <w:ind w:leftChars="0" w:firstLine="660" w:firstLineChars="300"/>
        <w:jc w:val="both"/>
        <w:rPr>
          <w:rFonts w:hint="eastAsia"/>
          <w:b w:val="0"/>
          <w:bCs w:val="0"/>
          <w:i w:val="0"/>
          <w:iCs w:val="0"/>
          <w:sz w:val="22"/>
          <w:szCs w:val="28"/>
          <w:lang w:val="en-US" w:eastAsia="zh-CN"/>
        </w:rPr>
      </w:pPr>
      <w:r>
        <w:rPr>
          <w:rFonts w:hint="eastAsia"/>
          <w:b w:val="0"/>
          <w:bCs w:val="0"/>
          <w:i w:val="0"/>
          <w:iCs w:val="0"/>
          <w:sz w:val="22"/>
          <w:szCs w:val="28"/>
          <w:lang w:val="en-US" w:eastAsia="zh-CN"/>
        </w:rPr>
        <w:t>短期国际借贷的过度波动；危机的国际传染</w:t>
      </w:r>
    </w:p>
    <w:p>
      <w:pPr>
        <w:widowControl w:val="0"/>
        <w:numPr>
          <w:ilvl w:val="0"/>
          <w:numId w:val="0"/>
        </w:numPr>
        <w:ind w:leftChars="0"/>
        <w:jc w:val="both"/>
        <w:rPr>
          <w:rFonts w:hint="default"/>
          <w:b/>
          <w:bCs/>
          <w:i w:val="0"/>
          <w:iCs w:val="0"/>
          <w:sz w:val="22"/>
          <w:szCs w:val="28"/>
          <w:highlight w:val="cyan"/>
          <w:lang w:val="en-US" w:eastAsia="zh-CN"/>
        </w:rPr>
      </w:pPr>
      <w:r>
        <w:rPr>
          <w:rFonts w:hint="eastAsia"/>
          <w:b/>
          <w:bCs/>
          <w:i w:val="0"/>
          <w:iCs w:val="0"/>
          <w:sz w:val="22"/>
          <w:szCs w:val="28"/>
          <w:highlight w:val="cyan"/>
          <w:lang w:val="en-US" w:eastAsia="zh-CN"/>
        </w:rPr>
        <w:t>贝克计划：（积极应对）</w:t>
      </w:r>
    </w:p>
    <w:p>
      <w:pPr>
        <w:widowControl w:val="0"/>
        <w:numPr>
          <w:ilvl w:val="0"/>
          <w:numId w:val="0"/>
        </w:numPr>
        <w:ind w:leftChars="0"/>
        <w:jc w:val="both"/>
        <w:rPr>
          <w:rFonts w:hint="default"/>
          <w:b w:val="0"/>
          <w:bCs w:val="0"/>
          <w:i w:val="0"/>
          <w:iCs w:val="0"/>
          <w:sz w:val="22"/>
          <w:szCs w:val="28"/>
          <w:highlight w:val="cyan"/>
          <w:lang w:val="en-US" w:eastAsia="zh-CN"/>
        </w:rPr>
      </w:pPr>
      <w:r>
        <w:rPr>
          <w:rFonts w:hint="eastAsia"/>
          <w:b w:val="0"/>
          <w:bCs w:val="0"/>
          <w:i w:val="0"/>
          <w:iCs w:val="0"/>
          <w:sz w:val="22"/>
          <w:szCs w:val="28"/>
          <w:highlight w:val="cyan"/>
          <w:lang w:val="en-US" w:eastAsia="zh-CN"/>
        </w:rPr>
        <w:t>①通过安排延长原有债务期限、新增贷款来促进债务国的长期经济增长，同时要求其</w:t>
      </w:r>
      <w:r>
        <w:rPr>
          <w:rFonts w:hint="eastAsia"/>
          <w:b/>
          <w:bCs/>
          <w:i w:val="0"/>
          <w:iCs w:val="0"/>
          <w:sz w:val="22"/>
          <w:szCs w:val="28"/>
          <w:highlight w:val="cyan"/>
          <w:lang w:val="en-US" w:eastAsia="zh-CN"/>
        </w:rPr>
        <w:t>调整国内政策</w:t>
      </w:r>
      <w:r>
        <w:rPr>
          <w:rFonts w:hint="eastAsia"/>
          <w:b w:val="0"/>
          <w:bCs w:val="0"/>
          <w:i w:val="0"/>
          <w:iCs w:val="0"/>
          <w:sz w:val="22"/>
          <w:szCs w:val="28"/>
          <w:highlight w:val="cyan"/>
          <w:lang w:val="en-US" w:eastAsia="zh-CN"/>
        </w:rPr>
        <w:t>。非削减债务，而是</w:t>
      </w:r>
      <w:r>
        <w:rPr>
          <w:rFonts w:hint="eastAsia"/>
          <w:b/>
          <w:bCs/>
          <w:i w:val="0"/>
          <w:iCs w:val="0"/>
          <w:sz w:val="22"/>
          <w:szCs w:val="28"/>
          <w:highlight w:val="cyan"/>
          <w:lang w:val="en-US" w:eastAsia="zh-CN"/>
        </w:rPr>
        <w:t>降低偿债负担</w:t>
      </w:r>
      <w:r>
        <w:rPr>
          <w:rFonts w:hint="eastAsia"/>
          <w:b w:val="0"/>
          <w:bCs w:val="0"/>
          <w:i w:val="0"/>
          <w:iCs w:val="0"/>
          <w:sz w:val="22"/>
          <w:szCs w:val="28"/>
          <w:highlight w:val="cyan"/>
          <w:lang w:val="en-US" w:eastAsia="zh-CN"/>
        </w:rPr>
        <w:t>。</w:t>
      </w:r>
    </w:p>
    <w:p>
      <w:pPr>
        <w:widowControl w:val="0"/>
        <w:numPr>
          <w:ilvl w:val="0"/>
          <w:numId w:val="0"/>
        </w:numPr>
        <w:jc w:val="both"/>
        <w:rPr>
          <w:rFonts w:hint="eastAsia"/>
          <w:b w:val="0"/>
          <w:bCs w:val="0"/>
          <w:i w:val="0"/>
          <w:iCs w:val="0"/>
          <w:sz w:val="22"/>
          <w:szCs w:val="28"/>
          <w:highlight w:val="cyan"/>
          <w:lang w:val="en-US" w:eastAsia="zh-CN"/>
        </w:rPr>
      </w:pPr>
      <w:r>
        <w:rPr>
          <w:rFonts w:hint="eastAsia"/>
          <w:b w:val="0"/>
          <w:bCs w:val="0"/>
          <w:i w:val="0"/>
          <w:iCs w:val="0"/>
          <w:sz w:val="22"/>
          <w:szCs w:val="28"/>
          <w:highlight w:val="cyan"/>
          <w:lang w:val="en-US" w:eastAsia="zh-CN"/>
        </w:rPr>
        <w:t>②提出建立在金融市场上的长期性债务缓解措施，如债务资本化、债权交换、债务回购</w:t>
      </w:r>
    </w:p>
    <w:p>
      <w:pPr>
        <w:widowControl w:val="0"/>
        <w:numPr>
          <w:ilvl w:val="0"/>
          <w:numId w:val="0"/>
        </w:numPr>
        <w:ind w:leftChars="0"/>
        <w:jc w:val="both"/>
        <w:rPr>
          <w:rFonts w:hint="eastAsia"/>
          <w:b/>
          <w:bCs/>
          <w:i w:val="0"/>
          <w:iCs w:val="0"/>
          <w:sz w:val="22"/>
          <w:szCs w:val="28"/>
          <w:highlight w:val="cyan"/>
          <w:lang w:val="en-US" w:eastAsia="zh-CN"/>
        </w:rPr>
      </w:pPr>
    </w:p>
    <w:p>
      <w:pPr>
        <w:widowControl w:val="0"/>
        <w:numPr>
          <w:ilvl w:val="0"/>
          <w:numId w:val="0"/>
        </w:numPr>
        <w:ind w:leftChars="0"/>
        <w:jc w:val="both"/>
        <w:rPr>
          <w:rFonts w:hint="default"/>
          <w:b/>
          <w:bCs/>
          <w:i w:val="0"/>
          <w:iCs w:val="0"/>
          <w:sz w:val="22"/>
          <w:szCs w:val="28"/>
          <w:highlight w:val="cyan"/>
          <w:lang w:val="en-US" w:eastAsia="zh-CN"/>
        </w:rPr>
      </w:pPr>
      <w:r>
        <w:rPr>
          <w:rFonts w:hint="eastAsia"/>
          <w:b/>
          <w:bCs/>
          <w:i w:val="0"/>
          <w:iCs w:val="0"/>
          <w:sz w:val="22"/>
          <w:szCs w:val="28"/>
          <w:highlight w:val="cyan"/>
          <w:lang w:val="en-US" w:eastAsia="zh-CN"/>
        </w:rPr>
        <w:t>布雷迪计划：（消极应对）</w:t>
      </w:r>
    </w:p>
    <w:p>
      <w:pPr>
        <w:widowControl w:val="0"/>
        <w:numPr>
          <w:ilvl w:val="0"/>
          <w:numId w:val="0"/>
        </w:numPr>
        <w:ind w:leftChars="0"/>
        <w:jc w:val="both"/>
        <w:rPr>
          <w:rFonts w:hint="eastAsia"/>
          <w:b w:val="0"/>
          <w:bCs w:val="0"/>
          <w:i w:val="0"/>
          <w:iCs w:val="0"/>
          <w:sz w:val="22"/>
          <w:szCs w:val="28"/>
          <w:highlight w:val="cyan"/>
          <w:lang w:val="en-US" w:eastAsia="zh-CN"/>
        </w:rPr>
      </w:pPr>
      <w:r>
        <w:rPr>
          <w:rFonts w:hint="default"/>
          <w:b w:val="0"/>
          <w:bCs w:val="0"/>
          <w:i w:val="0"/>
          <w:iCs w:val="0"/>
          <w:sz w:val="22"/>
          <w:szCs w:val="28"/>
          <w:highlight w:val="cyan"/>
          <w:lang w:val="en-US" w:eastAsia="zh-CN"/>
        </w:rPr>
        <w:t>鉴于许多银行对不良债务失去了信心，提出在</w:t>
      </w:r>
      <w:r>
        <w:rPr>
          <w:rFonts w:hint="default"/>
          <w:b/>
          <w:bCs/>
          <w:i w:val="0"/>
          <w:iCs w:val="0"/>
          <w:sz w:val="22"/>
          <w:szCs w:val="28"/>
          <w:highlight w:val="cyan"/>
          <w:lang w:val="en-US" w:eastAsia="zh-CN"/>
        </w:rPr>
        <w:t>自愿的、市场导向的</w:t>
      </w:r>
      <w:r>
        <w:rPr>
          <w:rFonts w:hint="default"/>
          <w:b w:val="0"/>
          <w:bCs w:val="0"/>
          <w:i w:val="0"/>
          <w:iCs w:val="0"/>
          <w:sz w:val="22"/>
          <w:szCs w:val="28"/>
          <w:highlight w:val="cyan"/>
          <w:lang w:val="en-US" w:eastAsia="zh-CN"/>
        </w:rPr>
        <w:t>基础上，对原有</w:t>
      </w:r>
      <w:r>
        <w:rPr>
          <w:rFonts w:hint="default"/>
          <w:b/>
          <w:bCs/>
          <w:i w:val="0"/>
          <w:iCs w:val="0"/>
          <w:sz w:val="22"/>
          <w:szCs w:val="28"/>
          <w:highlight w:val="cyan"/>
          <w:lang w:val="en-US" w:eastAsia="zh-CN"/>
        </w:rPr>
        <w:t>债务</w:t>
      </w:r>
      <w:r>
        <w:rPr>
          <w:rFonts w:hint="eastAsia"/>
          <w:b w:val="0"/>
          <w:bCs w:val="0"/>
          <w:i w:val="0"/>
          <w:iCs w:val="0"/>
          <w:sz w:val="22"/>
          <w:szCs w:val="28"/>
          <w:highlight w:val="cyan"/>
          <w:lang w:val="en-US" w:eastAsia="zh-CN"/>
        </w:rPr>
        <w:t>的本金和利息</w:t>
      </w:r>
      <w:r>
        <w:rPr>
          <w:rFonts w:hint="default"/>
          <w:b w:val="0"/>
          <w:bCs w:val="0"/>
          <w:i w:val="0"/>
          <w:iCs w:val="0"/>
          <w:sz w:val="22"/>
          <w:szCs w:val="28"/>
          <w:highlight w:val="cyan"/>
          <w:lang w:val="en-US" w:eastAsia="zh-CN"/>
        </w:rPr>
        <w:t>采取</w:t>
      </w:r>
      <w:r>
        <w:rPr>
          <w:rFonts w:hint="default"/>
          <w:b/>
          <w:bCs/>
          <w:i w:val="0"/>
          <w:iCs w:val="0"/>
          <w:sz w:val="22"/>
          <w:szCs w:val="28"/>
          <w:highlight w:val="cyan"/>
          <w:lang w:val="en-US" w:eastAsia="zh-CN"/>
        </w:rPr>
        <w:t>减免</w:t>
      </w:r>
      <w:r>
        <w:rPr>
          <w:rFonts w:hint="eastAsia"/>
          <w:b w:val="0"/>
          <w:bCs w:val="0"/>
          <w:i w:val="0"/>
          <w:iCs w:val="0"/>
          <w:sz w:val="22"/>
          <w:szCs w:val="28"/>
          <w:highlight w:val="cyan"/>
          <w:lang w:val="en-US" w:eastAsia="zh-CN"/>
        </w:rPr>
        <w:t>。</w:t>
      </w:r>
    </w:p>
    <w:p>
      <w:pPr>
        <w:widowControl w:val="0"/>
        <w:numPr>
          <w:ilvl w:val="0"/>
          <w:numId w:val="0"/>
        </w:numPr>
        <w:ind w:leftChars="0"/>
        <w:jc w:val="both"/>
        <w:rPr>
          <w:rFonts w:hint="default"/>
          <w:b w:val="0"/>
          <w:bCs w:val="0"/>
          <w:i w:val="0"/>
          <w:iCs w:val="0"/>
          <w:sz w:val="22"/>
          <w:szCs w:val="28"/>
          <w:highlight w:val="cyan"/>
          <w:lang w:val="en-US" w:eastAsia="zh-CN"/>
        </w:rPr>
      </w:pPr>
    </w:p>
    <w:p>
      <w:pPr>
        <w:widowControl w:val="0"/>
        <w:numPr>
          <w:ilvl w:val="0"/>
          <w:numId w:val="0"/>
        </w:numPr>
        <w:ind w:leftChars="0"/>
        <w:jc w:val="both"/>
        <w:rPr>
          <w:rFonts w:hint="default"/>
          <w:b w:val="0"/>
          <w:bCs w:val="0"/>
          <w:i w:val="0"/>
          <w:iCs w:val="0"/>
          <w:sz w:val="22"/>
          <w:szCs w:val="28"/>
          <w:lang w:val="en-US" w:eastAsia="zh-CN"/>
        </w:rPr>
      </w:pPr>
      <w:r>
        <w:rPr>
          <w:rFonts w:hint="eastAsia"/>
          <w:b w:val="0"/>
          <w:bCs w:val="0"/>
          <w:i w:val="0"/>
          <w:iCs w:val="0"/>
          <w:sz w:val="22"/>
          <w:szCs w:val="28"/>
          <w:lang w:val="en-US" w:eastAsia="zh-CN"/>
        </w:rPr>
        <w:t>银行危机：一个时期导致大部分或全部银行系统资本被侵蚀的金融困境</w:t>
      </w:r>
    </w:p>
    <w:p>
      <w:pPr>
        <w:widowControl w:val="0"/>
        <w:numPr>
          <w:ilvl w:val="0"/>
          <w:numId w:val="0"/>
        </w:numPr>
        <w:ind w:leftChars="0"/>
        <w:jc w:val="both"/>
        <w:rPr>
          <w:rFonts w:hint="eastAsia"/>
          <w:b w:val="0"/>
          <w:bCs w:val="0"/>
          <w:i w:val="0"/>
          <w:iCs w:val="0"/>
          <w:sz w:val="22"/>
          <w:szCs w:val="28"/>
          <w:lang w:val="en-US" w:eastAsia="zh-CN"/>
        </w:rPr>
      </w:pPr>
    </w:p>
    <w:p>
      <w:pPr>
        <w:widowControl w:val="0"/>
        <w:numPr>
          <w:ilvl w:val="0"/>
          <w:numId w:val="0"/>
        </w:numPr>
        <w:ind w:leftChars="0"/>
        <w:jc w:val="both"/>
        <w:rPr>
          <w:rFonts w:hint="eastAsia"/>
          <w:b w:val="0"/>
          <w:bCs w:val="0"/>
          <w:i w:val="0"/>
          <w:iCs w:val="0"/>
          <w:sz w:val="22"/>
          <w:szCs w:val="28"/>
          <w:lang w:val="en-US" w:eastAsia="zh-CN"/>
        </w:rPr>
      </w:pPr>
      <w:r>
        <w:rPr>
          <w:rFonts w:hint="eastAsia"/>
          <w:b/>
          <w:bCs/>
          <w:i/>
          <w:iCs/>
          <w:sz w:val="24"/>
          <w:szCs w:val="32"/>
          <w:lang w:val="en-US" w:eastAsia="zh-CN"/>
        </w:rPr>
        <w:t>*货币危机</w:t>
      </w:r>
      <w:r>
        <w:rPr>
          <w:rFonts w:hint="eastAsia"/>
          <w:b w:val="0"/>
          <w:bCs w:val="0"/>
          <w:i w:val="0"/>
          <w:iCs w:val="0"/>
          <w:sz w:val="22"/>
          <w:szCs w:val="28"/>
          <w:lang w:val="en-US" w:eastAsia="zh-CN"/>
        </w:rPr>
        <w:t>：通常是与对汇率波动采取限制的缺乏弹性的汇率制度相联系的，主要发生于固定汇率制下，外汇市场上抛售外币使得固定汇率无法维持。</w:t>
      </w:r>
    </w:p>
    <w:p>
      <w:pPr>
        <w:widowControl w:val="0"/>
        <w:numPr>
          <w:ilvl w:val="0"/>
          <w:numId w:val="0"/>
        </w:numPr>
        <w:ind w:leftChars="0"/>
        <w:jc w:val="both"/>
        <w:rPr>
          <w:rFonts w:hint="default"/>
          <w:b w:val="0"/>
          <w:bCs w:val="0"/>
          <w:i w:val="0"/>
          <w:iCs w:val="0"/>
          <w:sz w:val="22"/>
          <w:szCs w:val="28"/>
          <w:lang w:val="en-US" w:eastAsia="zh-CN"/>
        </w:rPr>
      </w:pPr>
    </w:p>
    <w:p>
      <w:pPr>
        <w:widowControl w:val="0"/>
        <w:numPr>
          <w:ilvl w:val="0"/>
          <w:numId w:val="0"/>
        </w:numPr>
        <w:ind w:left="2200" w:leftChars="0" w:hanging="2200" w:hangingChars="1000"/>
        <w:jc w:val="both"/>
        <w:rPr>
          <w:rFonts w:hint="default"/>
          <w:b w:val="0"/>
          <w:bCs w:val="0"/>
          <w:i w:val="0"/>
          <w:iCs w:val="0"/>
          <w:sz w:val="22"/>
          <w:szCs w:val="28"/>
          <w:lang w:val="en-US" w:eastAsia="zh-CN"/>
        </w:rPr>
      </w:pPr>
      <w:r>
        <w:rPr>
          <w:rFonts w:hint="eastAsia"/>
          <w:b w:val="0"/>
          <w:bCs w:val="0"/>
          <w:i w:val="0"/>
          <w:iCs w:val="0"/>
          <w:sz w:val="22"/>
          <w:szCs w:val="28"/>
          <w:highlight w:val="cyan"/>
          <w:lang w:val="en-US" w:eastAsia="zh-CN"/>
        </w:rPr>
        <w:t>第一代货币危机理论</w:t>
      </w:r>
      <w:r>
        <w:rPr>
          <w:rFonts w:hint="eastAsia"/>
          <w:b w:val="0"/>
          <w:bCs w:val="0"/>
          <w:i w:val="0"/>
          <w:iCs w:val="0"/>
          <w:sz w:val="22"/>
          <w:szCs w:val="28"/>
          <w:lang w:val="en-US" w:eastAsia="zh-CN"/>
        </w:rPr>
        <w:t>：政府过度追求扩张的财政or货币政策，导致</w:t>
      </w:r>
      <w:r>
        <w:rPr>
          <w:rFonts w:hint="eastAsia"/>
          <w:b/>
          <w:bCs/>
          <w:i w:val="0"/>
          <w:iCs w:val="0"/>
          <w:sz w:val="22"/>
          <w:szCs w:val="28"/>
          <w:lang w:val="en-US" w:eastAsia="zh-CN"/>
        </w:rPr>
        <w:t>经济基本面恶化，</w:t>
      </w:r>
      <w:r>
        <w:rPr>
          <w:rFonts w:hint="eastAsia"/>
          <w:b w:val="0"/>
          <w:bCs w:val="0"/>
          <w:i w:val="0"/>
          <w:iCs w:val="0"/>
          <w:sz w:val="22"/>
          <w:szCs w:val="28"/>
          <w:lang w:val="en-US" w:eastAsia="zh-CN"/>
        </w:rPr>
        <w:t>进而引发对固定汇率的</w:t>
      </w:r>
      <w:r>
        <w:rPr>
          <w:rFonts w:hint="eastAsia"/>
          <w:b/>
          <w:bCs/>
          <w:i w:val="0"/>
          <w:iCs w:val="0"/>
          <w:sz w:val="22"/>
          <w:szCs w:val="28"/>
          <w:lang w:val="en-US" w:eastAsia="zh-CN"/>
        </w:rPr>
        <w:t>投机性冲击</w:t>
      </w:r>
      <w:r>
        <w:rPr>
          <w:rFonts w:hint="eastAsia"/>
          <w:b w:val="0"/>
          <w:bCs w:val="0"/>
          <w:i w:val="0"/>
          <w:iCs w:val="0"/>
          <w:sz w:val="22"/>
          <w:szCs w:val="28"/>
          <w:lang w:val="en-US" w:eastAsia="zh-CN"/>
        </w:rPr>
        <w:t>导致的货币危机</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路径：国内信贷扩张，导致货币供给扩张，对外消费、投资需求上涨，固定汇率制度干预使外汇储备减少，加上投机冲击，外汇储备减为零，被迫浮动，货币危机</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解决方法：紧缩性的财政和货币政策</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例子：墨西哥、阿根廷、智利的货币危机</w:t>
      </w:r>
    </w:p>
    <w:p>
      <w:pPr>
        <w:widowControl w:val="0"/>
        <w:numPr>
          <w:ilvl w:val="0"/>
          <w:numId w:val="0"/>
        </w:numPr>
        <w:ind w:leftChars="0"/>
        <w:jc w:val="both"/>
        <w:rPr>
          <w:rFonts w:hint="eastAsia"/>
          <w:b w:val="0"/>
          <w:bCs w:val="0"/>
          <w:i w:val="0"/>
          <w:iCs w:val="0"/>
          <w:sz w:val="22"/>
          <w:szCs w:val="28"/>
          <w:lang w:val="en-US" w:eastAsia="zh-CN"/>
        </w:rPr>
      </w:pPr>
    </w:p>
    <w:p>
      <w:pPr>
        <w:widowControl w:val="0"/>
        <w:numPr>
          <w:ilvl w:val="0"/>
          <w:numId w:val="0"/>
        </w:numPr>
        <w:ind w:leftChars="0"/>
        <w:jc w:val="both"/>
        <w:rPr>
          <w:rFonts w:hint="eastAsia"/>
          <w:b/>
          <w:bCs/>
          <w:i w:val="0"/>
          <w:iCs w:val="0"/>
          <w:sz w:val="22"/>
          <w:szCs w:val="28"/>
          <w:lang w:val="en-US" w:eastAsia="zh-CN"/>
        </w:rPr>
      </w:pPr>
      <w:r>
        <w:rPr>
          <w:rFonts w:hint="eastAsia"/>
          <w:b w:val="0"/>
          <w:bCs w:val="0"/>
          <w:i w:val="0"/>
          <w:iCs w:val="0"/>
          <w:sz w:val="22"/>
          <w:szCs w:val="28"/>
          <w:highlight w:val="cyan"/>
          <w:lang w:val="en-US" w:eastAsia="zh-CN"/>
        </w:rPr>
        <w:t>第二代货币危机理论</w:t>
      </w:r>
      <w:r>
        <w:rPr>
          <w:rFonts w:hint="eastAsia"/>
          <w:b w:val="0"/>
          <w:bCs w:val="0"/>
          <w:i w:val="0"/>
          <w:iCs w:val="0"/>
          <w:sz w:val="22"/>
          <w:szCs w:val="28"/>
          <w:lang w:val="en-US" w:eastAsia="zh-CN"/>
        </w:rPr>
        <w:t>：经济基本面比较健康，外汇储备充足，主要由</w:t>
      </w:r>
      <w:r>
        <w:rPr>
          <w:rFonts w:hint="eastAsia"/>
          <w:b/>
          <w:bCs/>
          <w:i w:val="0"/>
          <w:iCs w:val="0"/>
          <w:sz w:val="22"/>
          <w:szCs w:val="28"/>
          <w:lang w:val="en-US" w:eastAsia="zh-CN"/>
        </w:rPr>
        <w:t>贬值预期的</w:t>
      </w:r>
    </w:p>
    <w:p>
      <w:pPr>
        <w:widowControl w:val="0"/>
        <w:numPr>
          <w:ilvl w:val="0"/>
          <w:numId w:val="0"/>
        </w:numPr>
        <w:ind w:leftChars="0" w:firstLine="2092" w:firstLineChars="950"/>
        <w:jc w:val="both"/>
        <w:rPr>
          <w:rFonts w:hint="eastAsia"/>
          <w:b w:val="0"/>
          <w:bCs w:val="0"/>
          <w:i w:val="0"/>
          <w:iCs w:val="0"/>
          <w:sz w:val="22"/>
          <w:szCs w:val="28"/>
          <w:lang w:val="en-US" w:eastAsia="zh-CN"/>
        </w:rPr>
      </w:pPr>
      <w:r>
        <w:rPr>
          <w:rFonts w:hint="eastAsia"/>
          <w:b/>
          <w:bCs/>
          <w:i w:val="0"/>
          <w:iCs w:val="0"/>
          <w:sz w:val="22"/>
          <w:szCs w:val="28"/>
          <w:lang w:val="en-US" w:eastAsia="zh-CN"/>
        </w:rPr>
        <w:t>自我实现（心理预期）</w:t>
      </w:r>
      <w:r>
        <w:rPr>
          <w:rFonts w:hint="eastAsia"/>
          <w:b w:val="0"/>
          <w:bCs w:val="0"/>
          <w:i w:val="0"/>
          <w:iCs w:val="0"/>
          <w:sz w:val="22"/>
          <w:szCs w:val="28"/>
          <w:lang w:val="en-US" w:eastAsia="zh-CN"/>
        </w:rPr>
        <w:t>带来的</w:t>
      </w:r>
      <w:r>
        <w:rPr>
          <w:rFonts w:hint="eastAsia"/>
          <w:b/>
          <w:bCs/>
          <w:i w:val="0"/>
          <w:iCs w:val="0"/>
          <w:sz w:val="22"/>
          <w:szCs w:val="28"/>
          <w:lang w:val="en-US" w:eastAsia="zh-CN"/>
        </w:rPr>
        <w:t>投机性冲击</w:t>
      </w:r>
      <w:r>
        <w:rPr>
          <w:rFonts w:hint="eastAsia"/>
          <w:b w:val="0"/>
          <w:bCs w:val="0"/>
          <w:i w:val="0"/>
          <w:iCs w:val="0"/>
          <w:sz w:val="22"/>
          <w:szCs w:val="28"/>
          <w:lang w:val="en-US" w:eastAsia="zh-CN"/>
        </w:rPr>
        <w:t>所导致的货币危机</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drawing>
          <wp:anchor distT="0" distB="0" distL="114300" distR="114300" simplePos="0" relativeHeight="251671552" behindDoc="0" locked="0" layoutInCell="1" allowOverlap="1">
            <wp:simplePos x="0" y="0"/>
            <wp:positionH relativeFrom="column">
              <wp:posOffset>3887470</wp:posOffset>
            </wp:positionH>
            <wp:positionV relativeFrom="paragraph">
              <wp:posOffset>2540</wp:posOffset>
            </wp:positionV>
            <wp:extent cx="1276350" cy="1002665"/>
            <wp:effectExtent l="0" t="0" r="19050" b="13335"/>
            <wp:wrapNone/>
            <wp:docPr id="13" name="图片 13" descr="截屏2024-06-12 17.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4-06-12 17.01.44"/>
                    <pic:cNvPicPr>
                      <a:picLocks noChangeAspect="1"/>
                    </pic:cNvPicPr>
                  </pic:nvPicPr>
                  <pic:blipFill>
                    <a:blip r:embed="rId24"/>
                    <a:srcRect l="4496" t="3964" r="2903" b="5592"/>
                    <a:stretch>
                      <a:fillRect/>
                    </a:stretch>
                  </pic:blipFill>
                  <pic:spPr>
                    <a:xfrm>
                      <a:off x="0" y="0"/>
                      <a:ext cx="1276350" cy="1002665"/>
                    </a:xfrm>
                    <a:prstGeom prst="rect">
                      <a:avLst/>
                    </a:prstGeom>
                  </pic:spPr>
                </pic:pic>
              </a:graphicData>
            </a:graphic>
          </wp:anchor>
        </w:drawing>
      </w:r>
      <w:r>
        <w:rPr>
          <w:rFonts w:hint="eastAsia"/>
          <w:b w:val="0"/>
          <w:bCs w:val="0"/>
          <w:i w:val="0"/>
          <w:iCs w:val="0"/>
          <w:sz w:val="22"/>
          <w:szCs w:val="28"/>
          <w:lang w:val="en-US" w:eastAsia="zh-CN"/>
        </w:rPr>
        <w:t>两个特征：①预期的自我实现</w:t>
      </w:r>
    </w:p>
    <w:p>
      <w:pPr>
        <w:widowControl w:val="0"/>
        <w:numPr>
          <w:ilvl w:val="0"/>
          <w:numId w:val="20"/>
        </w:numPr>
        <w:ind w:left="1685" w:leftChars="0" w:hanging="425" w:firstLine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冲击政策放松分析</w:t>
      </w:r>
    </w:p>
    <w:p>
      <w:pPr>
        <w:widowControl w:val="0"/>
        <w:numPr>
          <w:ilvl w:val="0"/>
          <w:numId w:val="20"/>
        </w:numPr>
        <w:ind w:left="1685" w:leftChars="0" w:hanging="425" w:firstLine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逃出条款分析</w:t>
      </w:r>
    </w:p>
    <w:p>
      <w:pPr>
        <w:widowControl w:val="0"/>
        <w:numPr>
          <w:ilvl w:val="0"/>
          <w:numId w:val="20"/>
        </w:numPr>
        <w:ind w:left="1685" w:leftChars="0" w:hanging="425" w:firstLine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恶性循环分析</w:t>
      </w:r>
    </w:p>
    <w:p>
      <w:pPr>
        <w:widowControl w:val="0"/>
        <w:numPr>
          <w:ilvl w:val="0"/>
          <w:numId w:val="0"/>
        </w:numPr>
        <w:ind w:leftChars="0" w:firstLine="990" w:firstLineChars="450"/>
        <w:jc w:val="both"/>
        <w:rPr>
          <w:rFonts w:hint="eastAsia"/>
          <w:b w:val="0"/>
          <w:bCs w:val="0"/>
          <w:i w:val="0"/>
          <w:iCs w:val="0"/>
          <w:sz w:val="22"/>
          <w:szCs w:val="28"/>
          <w:lang w:val="en-US" w:eastAsia="zh-CN"/>
        </w:rPr>
      </w:pPr>
      <w:r>
        <w:rPr>
          <w:rFonts w:hint="eastAsia"/>
          <w:b w:val="0"/>
          <w:bCs w:val="0"/>
          <w:i w:val="0"/>
          <w:iCs w:val="0"/>
          <w:sz w:val="22"/>
          <w:szCs w:val="28"/>
          <w:lang w:val="en-US" w:eastAsia="zh-CN"/>
        </w:rPr>
        <w:t xml:space="preserve"> ②多重均衡</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路径：当局为了维持固定汇率，</w:t>
      </w:r>
      <w:r>
        <w:rPr>
          <w:rFonts w:hint="eastAsia"/>
          <w:b/>
          <w:bCs/>
          <w:i w:val="0"/>
          <w:iCs w:val="0"/>
          <w:sz w:val="22"/>
          <w:szCs w:val="28"/>
          <w:lang w:val="en-US" w:eastAsia="zh-CN"/>
        </w:rPr>
        <w:t>提高利率</w:t>
      </w:r>
      <w:r>
        <w:rPr>
          <w:rFonts w:hint="eastAsia"/>
          <w:b w:val="0"/>
          <w:bCs w:val="0"/>
          <w:i w:val="0"/>
          <w:iCs w:val="0"/>
          <w:sz w:val="22"/>
          <w:szCs w:val="28"/>
          <w:lang w:val="en-US" w:eastAsia="zh-CN"/>
        </w:rPr>
        <w:t>，提高投机者进行投机性冲击的成本，加强了市场的贬值预期，维持固定汇率信心不足，最终放弃固定汇率，引发货币危机。</w:t>
      </w:r>
    </w:p>
    <w:p>
      <w:pPr>
        <w:widowControl w:val="0"/>
        <w:numPr>
          <w:ilvl w:val="0"/>
          <w:numId w:val="0"/>
        </w:numPr>
        <w:ind w:leftChars="0"/>
        <w:jc w:val="both"/>
        <w:rPr>
          <w:rFonts w:hint="default"/>
          <w:b w:val="0"/>
          <w:bCs w:val="0"/>
          <w:i w:val="0"/>
          <w:iCs w:val="0"/>
          <w:sz w:val="22"/>
          <w:szCs w:val="28"/>
          <w:lang w:val="en-US" w:eastAsia="zh-CN"/>
        </w:rPr>
      </w:pPr>
      <w:r>
        <w:rPr>
          <w:rFonts w:hint="default"/>
          <w:b/>
          <w:bCs/>
          <w:i/>
          <w:iCs/>
          <w:sz w:val="22"/>
          <w:szCs w:val="28"/>
          <w:lang w:val="en-US" w:eastAsia="zh-CN"/>
        </w:rPr>
        <w:t>预期因素</w:t>
      </w:r>
      <w:r>
        <w:rPr>
          <w:rFonts w:hint="eastAsia"/>
          <w:b w:val="0"/>
          <w:bCs w:val="0"/>
          <w:i w:val="0"/>
          <w:iCs w:val="0"/>
          <w:sz w:val="22"/>
          <w:szCs w:val="28"/>
          <w:lang w:val="en-US" w:eastAsia="zh-CN"/>
        </w:rPr>
        <w:t>——</w:t>
      </w:r>
      <w:r>
        <w:rPr>
          <w:rFonts w:hint="default"/>
          <w:b w:val="0"/>
          <w:bCs w:val="0"/>
          <w:i w:val="0"/>
          <w:iCs w:val="0"/>
          <w:sz w:val="22"/>
          <w:szCs w:val="28"/>
          <w:lang w:val="en-US" w:eastAsia="zh-CN"/>
        </w:rPr>
        <w:t>&gt;货币危机是否会发生、发生到什么程度</w:t>
      </w:r>
    </w:p>
    <w:p>
      <w:pPr>
        <w:widowControl w:val="0"/>
        <w:numPr>
          <w:ilvl w:val="0"/>
          <w:numId w:val="0"/>
        </w:numPr>
        <w:ind w:leftChars="0"/>
        <w:jc w:val="both"/>
        <w:rPr>
          <w:rFonts w:hint="default"/>
          <w:b w:val="0"/>
          <w:bCs w:val="0"/>
          <w:i w:val="0"/>
          <w:iCs w:val="0"/>
          <w:sz w:val="22"/>
          <w:szCs w:val="28"/>
          <w:lang w:val="en-US" w:eastAsia="zh-CN"/>
        </w:rPr>
      </w:pPr>
      <w:r>
        <w:rPr>
          <w:rFonts w:hint="default"/>
          <w:b/>
          <w:bCs/>
          <w:i/>
          <w:iCs/>
          <w:sz w:val="22"/>
          <w:szCs w:val="28"/>
          <w:lang w:val="en-US" w:eastAsia="zh-CN"/>
        </w:rPr>
        <w:t>利率水平</w:t>
      </w:r>
      <w:r>
        <w:rPr>
          <w:rFonts w:hint="eastAsia"/>
          <w:b w:val="0"/>
          <w:bCs w:val="0"/>
          <w:i w:val="0"/>
          <w:iCs w:val="0"/>
          <w:sz w:val="22"/>
          <w:szCs w:val="28"/>
          <w:lang w:val="en-US" w:eastAsia="zh-CN"/>
        </w:rPr>
        <w:t>——</w:t>
      </w:r>
      <w:r>
        <w:rPr>
          <w:rFonts w:hint="default"/>
          <w:b w:val="0"/>
          <w:bCs w:val="0"/>
          <w:i w:val="0"/>
          <w:iCs w:val="0"/>
          <w:sz w:val="22"/>
          <w:szCs w:val="28"/>
          <w:lang w:val="en-US" w:eastAsia="zh-CN"/>
        </w:rPr>
        <w:t>&gt;固定汇率制度放弃与否的中心变量</w:t>
      </w:r>
    </w:p>
    <w:p>
      <w:pPr>
        <w:widowControl w:val="0"/>
        <w:numPr>
          <w:ilvl w:val="0"/>
          <w:numId w:val="0"/>
        </w:numPr>
        <w:ind w:leftChars="0"/>
        <w:jc w:val="both"/>
        <w:rPr>
          <w:rFonts w:hint="eastAsia"/>
          <w:b w:val="0"/>
          <w:bCs w:val="0"/>
          <w:i w:val="0"/>
          <w:iCs w:val="0"/>
          <w:sz w:val="22"/>
          <w:szCs w:val="28"/>
          <w:lang w:val="en-US" w:eastAsia="zh-CN"/>
        </w:rPr>
      </w:pPr>
    </w:p>
    <w:p>
      <w:pPr>
        <w:widowControl w:val="0"/>
        <w:numPr>
          <w:ilvl w:val="0"/>
          <w:numId w:val="0"/>
        </w:numPr>
        <w:ind w:leftChars="0"/>
        <w:jc w:val="both"/>
        <w:rPr>
          <w:rFonts w:hint="default"/>
          <w:b w:val="0"/>
          <w:bCs w:val="0"/>
          <w:i w:val="0"/>
          <w:iCs w:val="0"/>
          <w:sz w:val="22"/>
          <w:szCs w:val="28"/>
          <w:highlight w:val="cyan"/>
          <w:lang w:val="en-US" w:eastAsia="zh-CN"/>
        </w:rPr>
      </w:pPr>
      <w:r>
        <w:rPr>
          <w:rFonts w:hint="eastAsia"/>
          <w:b w:val="0"/>
          <w:bCs w:val="0"/>
          <w:i w:val="0"/>
          <w:iCs w:val="0"/>
          <w:sz w:val="22"/>
          <w:szCs w:val="28"/>
          <w:highlight w:val="cyan"/>
          <w:lang w:val="en-US" w:eastAsia="zh-CN"/>
        </w:rPr>
        <w:t>第三代货币危机理论</w:t>
      </w:r>
    </w:p>
    <w:p>
      <w:pPr>
        <w:widowControl w:val="0"/>
        <w:numPr>
          <w:ilvl w:val="0"/>
          <w:numId w:val="21"/>
        </w:numPr>
        <w:ind w:leftChars="0"/>
        <w:jc w:val="both"/>
        <w:rPr>
          <w:rFonts w:hint="eastAsia"/>
          <w:b w:val="0"/>
          <w:bCs w:val="0"/>
          <w:i w:val="0"/>
          <w:iCs w:val="0"/>
          <w:sz w:val="22"/>
          <w:szCs w:val="28"/>
          <w:lang w:val="en-US" w:eastAsia="zh-CN"/>
        </w:rPr>
      </w:pPr>
      <w:r>
        <w:rPr>
          <w:rFonts w:hint="eastAsia"/>
          <w:b/>
          <w:bCs/>
          <w:i w:val="0"/>
          <w:iCs w:val="0"/>
          <w:sz w:val="22"/>
          <w:szCs w:val="28"/>
          <w:lang w:val="en-US" w:eastAsia="zh-CN"/>
        </w:rPr>
        <w:t>道德风险论：</w:t>
      </w:r>
      <w:r>
        <w:rPr>
          <w:rFonts w:hint="eastAsia"/>
          <w:b w:val="0"/>
          <w:bCs w:val="0"/>
          <w:i w:val="0"/>
          <w:iCs w:val="0"/>
          <w:sz w:val="22"/>
          <w:szCs w:val="28"/>
          <w:lang w:val="en-US" w:eastAsia="zh-CN"/>
        </w:rPr>
        <w:t>由于政府对金融中介的隐性担保以及监管不力，</w:t>
      </w:r>
    </w:p>
    <w:p>
      <w:pPr>
        <w:widowControl w:val="0"/>
        <w:numPr>
          <w:ilvl w:val="0"/>
          <w:numId w:val="0"/>
        </w:numPr>
        <w:ind w:firstLine="1980" w:firstLineChars="900"/>
        <w:jc w:val="both"/>
        <w:rPr>
          <w:rFonts w:hint="eastAsia"/>
          <w:b w:val="0"/>
          <w:bCs w:val="0"/>
          <w:i w:val="0"/>
          <w:iCs w:val="0"/>
          <w:sz w:val="22"/>
          <w:szCs w:val="28"/>
          <w:lang w:val="en-US" w:eastAsia="zh-CN"/>
        </w:rPr>
      </w:pPr>
      <w:r>
        <w:rPr>
          <w:rFonts w:hint="eastAsia"/>
          <w:b w:val="0"/>
          <w:bCs w:val="0"/>
          <w:i w:val="0"/>
          <w:iCs w:val="0"/>
          <w:sz w:val="22"/>
          <w:szCs w:val="28"/>
          <w:lang w:val="en-US" w:eastAsia="zh-CN"/>
        </w:rPr>
        <w:t>导致金融中介存在严重的</w:t>
      </w:r>
      <w:r>
        <w:rPr>
          <w:rFonts w:hint="eastAsia"/>
          <w:b/>
          <w:bCs/>
          <w:i w:val="0"/>
          <w:iCs w:val="0"/>
          <w:sz w:val="22"/>
          <w:szCs w:val="28"/>
          <w:lang w:val="en-US" w:eastAsia="zh-CN"/>
        </w:rPr>
        <w:t>道德风险</w:t>
      </w:r>
      <w:r>
        <w:rPr>
          <w:rFonts w:hint="eastAsia"/>
          <w:b w:val="0"/>
          <w:bCs w:val="0"/>
          <w:i w:val="0"/>
          <w:iCs w:val="0"/>
          <w:sz w:val="22"/>
          <w:szCs w:val="28"/>
          <w:lang w:val="en-US" w:eastAsia="zh-CN"/>
        </w:rPr>
        <w:t>问题。</w:t>
      </w:r>
    </w:p>
    <w:p>
      <w:pPr>
        <w:widowControl w:val="0"/>
        <w:numPr>
          <w:ilvl w:val="0"/>
          <w:numId w:val="0"/>
        </w:numPr>
        <w:ind w:left="660" w:hanging="660" w:hangingChars="300"/>
        <w:jc w:val="both"/>
        <w:rPr>
          <w:rFonts w:hint="eastAsia"/>
          <w:b w:val="0"/>
          <w:bCs w:val="0"/>
          <w:i w:val="0"/>
          <w:iCs w:val="0"/>
          <w:sz w:val="22"/>
          <w:szCs w:val="28"/>
          <w:lang w:val="en-US" w:eastAsia="zh-CN"/>
        </w:rPr>
      </w:pPr>
      <w:r>
        <w:rPr>
          <w:rFonts w:hint="eastAsia"/>
          <w:b w:val="0"/>
          <w:bCs w:val="0"/>
          <w:i w:val="0"/>
          <w:iCs w:val="0"/>
          <w:sz w:val="22"/>
          <w:szCs w:val="28"/>
          <w:lang w:val="en-US" w:eastAsia="zh-CN"/>
        </w:rPr>
        <w:t>路径：国外对国内金融中介信息不对称的项目投融资，高风险的累积释放不利消息，产生对金融中介的挤兑，外汇储备需求激增，本币被迫贬值，导致金融危机，若政府扩张则产生第一代货币危机。</w:t>
      </w:r>
    </w:p>
    <w:p>
      <w:pPr>
        <w:widowControl w:val="0"/>
        <w:numPr>
          <w:ilvl w:val="0"/>
          <w:numId w:val="0"/>
        </w:numPr>
        <w:jc w:val="both"/>
        <w:rPr>
          <w:rFonts w:hint="default"/>
          <w:b w:val="0"/>
          <w:bCs w:val="0"/>
          <w:i w:val="0"/>
          <w:iCs w:val="0"/>
          <w:sz w:val="22"/>
          <w:szCs w:val="28"/>
          <w:lang w:val="en-US" w:eastAsia="zh-CN"/>
        </w:rPr>
      </w:pPr>
    </w:p>
    <w:p>
      <w:pPr>
        <w:widowControl w:val="0"/>
        <w:numPr>
          <w:ilvl w:val="0"/>
          <w:numId w:val="21"/>
        </w:numPr>
        <w:ind w:left="0" w:leftChars="0" w:firstLine="0" w:firstLineChars="0"/>
        <w:jc w:val="both"/>
        <w:rPr>
          <w:rFonts w:hint="eastAsia"/>
          <w:b w:val="0"/>
          <w:bCs w:val="0"/>
          <w:i w:val="0"/>
          <w:iCs w:val="0"/>
          <w:sz w:val="22"/>
          <w:szCs w:val="28"/>
          <w:lang w:val="en-US" w:eastAsia="zh-CN"/>
        </w:rPr>
      </w:pPr>
      <w:r>
        <w:rPr>
          <w:rFonts w:hint="eastAsia"/>
          <w:b/>
          <w:bCs/>
          <w:i w:val="0"/>
          <w:iCs w:val="0"/>
          <w:sz w:val="22"/>
          <w:szCs w:val="28"/>
          <w:lang w:val="en-US" w:eastAsia="zh-CN"/>
        </w:rPr>
        <w:t>金融恐慌论</w:t>
      </w:r>
      <w:r>
        <w:rPr>
          <w:rFonts w:hint="eastAsia"/>
          <w:b w:val="0"/>
          <w:bCs w:val="0"/>
          <w:i w:val="0"/>
          <w:iCs w:val="0"/>
          <w:sz w:val="22"/>
          <w:szCs w:val="28"/>
          <w:lang w:val="en-US" w:eastAsia="zh-CN"/>
        </w:rPr>
        <w:t>：取决于独立随机因素、</w:t>
      </w:r>
      <w:r>
        <w:rPr>
          <w:rFonts w:hint="eastAsia"/>
          <w:b/>
          <w:bCs/>
          <w:i w:val="0"/>
          <w:iCs w:val="0"/>
          <w:sz w:val="22"/>
          <w:szCs w:val="28"/>
          <w:lang w:val="en-US" w:eastAsia="zh-CN"/>
        </w:rPr>
        <w:t>“羊群效应”</w:t>
      </w:r>
      <w:r>
        <w:rPr>
          <w:rFonts w:hint="eastAsia"/>
          <w:b w:val="0"/>
          <w:bCs w:val="0"/>
          <w:i w:val="0"/>
          <w:iCs w:val="0"/>
          <w:sz w:val="22"/>
          <w:szCs w:val="28"/>
          <w:lang w:val="en-US" w:eastAsia="zh-CN"/>
        </w:rPr>
        <w:t>的发生</w:t>
      </w:r>
    </w:p>
    <w:p>
      <w:pPr>
        <w:widowControl w:val="0"/>
        <w:numPr>
          <w:ilvl w:val="0"/>
          <w:numId w:val="0"/>
        </w:numPr>
        <w:ind w:left="660" w:leftChars="0" w:hanging="660" w:hangingChars="300"/>
        <w:jc w:val="both"/>
        <w:rPr>
          <w:rFonts w:hint="default"/>
          <w:b w:val="0"/>
          <w:bCs w:val="0"/>
          <w:i w:val="0"/>
          <w:iCs w:val="0"/>
          <w:sz w:val="22"/>
          <w:szCs w:val="28"/>
          <w:lang w:val="en-US" w:eastAsia="zh-CN"/>
        </w:rPr>
      </w:pPr>
      <w:r>
        <w:rPr>
          <w:rFonts w:hint="eastAsia"/>
          <w:b w:val="0"/>
          <w:bCs w:val="0"/>
          <w:i w:val="0"/>
          <w:iCs w:val="0"/>
          <w:sz w:val="22"/>
          <w:szCs w:val="28"/>
          <w:lang w:val="en-US" w:eastAsia="zh-CN"/>
        </w:rPr>
        <w:t>路径：国内的</w:t>
      </w:r>
      <w:r>
        <w:rPr>
          <w:rFonts w:hint="eastAsia"/>
          <w:b/>
          <w:bCs/>
          <w:i w:val="0"/>
          <w:iCs w:val="0"/>
          <w:sz w:val="22"/>
          <w:szCs w:val="28"/>
          <w:lang w:val="en-US" w:eastAsia="zh-CN"/>
        </w:rPr>
        <w:t>短期流动性不足</w:t>
      </w:r>
      <w:r>
        <w:rPr>
          <w:rFonts w:hint="eastAsia"/>
          <w:b w:val="0"/>
          <w:bCs w:val="0"/>
          <w:i w:val="0"/>
          <w:iCs w:val="0"/>
          <w:sz w:val="22"/>
          <w:szCs w:val="28"/>
          <w:lang w:val="en-US" w:eastAsia="zh-CN"/>
        </w:rPr>
        <w:t>，通过金融机构，短期外债被转化为缺少流动性的长期贷款，长短期限不匹配，使投资者产生恐慌心理，使得外资撤离该国或该地区，导致了该国资产价格的下降以及货币的贬值。</w:t>
      </w:r>
    </w:p>
    <w:p>
      <w:pPr>
        <w:widowControl w:val="0"/>
        <w:numPr>
          <w:ilvl w:val="0"/>
          <w:numId w:val="0"/>
        </w:numPr>
        <w:ind w:leftChars="0"/>
        <w:jc w:val="both"/>
        <w:rPr>
          <w:rFonts w:hint="default"/>
          <w:b w:val="0"/>
          <w:bCs w:val="0"/>
          <w:i w:val="0"/>
          <w:iCs w:val="0"/>
          <w:sz w:val="22"/>
          <w:szCs w:val="28"/>
          <w:lang w:val="en-US" w:eastAsia="zh-CN"/>
        </w:rPr>
      </w:pPr>
      <w:r>
        <w:rPr>
          <w:rFonts w:hint="eastAsia"/>
          <w:b w:val="0"/>
          <w:bCs w:val="0"/>
          <w:i w:val="0"/>
          <w:iCs w:val="0"/>
          <w:sz w:val="22"/>
          <w:szCs w:val="28"/>
          <w:lang w:val="en-US" w:eastAsia="zh-CN"/>
        </w:rPr>
        <w:t>e.x.</w:t>
      </w:r>
      <w:r>
        <w:rPr>
          <w:rFonts w:hint="eastAsia"/>
          <w:b/>
          <w:bCs/>
          <w:i w:val="0"/>
          <w:iCs w:val="0"/>
          <w:sz w:val="22"/>
          <w:szCs w:val="28"/>
          <w:lang w:val="en-US" w:eastAsia="zh-CN"/>
        </w:rPr>
        <w:t>亚洲金融危机：</w:t>
      </w:r>
    </w:p>
    <w:p>
      <w:pPr>
        <w:widowControl w:val="0"/>
        <w:numPr>
          <w:ilvl w:val="0"/>
          <w:numId w:val="0"/>
        </w:numPr>
        <w:ind w:leftChars="0"/>
        <w:jc w:val="both"/>
        <w:rPr>
          <w:rFonts w:hint="default"/>
          <w:b w:val="0"/>
          <w:bCs w:val="0"/>
          <w:i w:val="0"/>
          <w:iCs w:val="0"/>
          <w:sz w:val="22"/>
          <w:szCs w:val="28"/>
          <w:lang w:val="en-US" w:eastAsia="zh-CN"/>
        </w:rPr>
      </w:pPr>
      <w:r>
        <w:rPr>
          <w:rFonts w:hint="eastAsia"/>
          <w:b w:val="0"/>
          <w:bCs w:val="0"/>
          <w:i w:val="0"/>
          <w:iCs w:val="0"/>
          <w:sz w:val="22"/>
          <w:szCs w:val="28"/>
          <w:lang w:val="en-US" w:eastAsia="zh-CN"/>
        </w:rPr>
        <w:t>根本原因：供求失衡（日元升值生产力过剩，过度供给，国际短期外债增多）</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诱发性原因/开端：泰铢贬值——政府被迫实行浮动汇率制度</w:t>
      </w:r>
    </w:p>
    <w:p>
      <w:pPr>
        <w:widowControl w:val="0"/>
        <w:numPr>
          <w:ilvl w:val="0"/>
          <w:numId w:val="0"/>
        </w:numPr>
        <w:ind w:leftChars="0" w:firstLine="1760" w:firstLineChars="800"/>
        <w:jc w:val="both"/>
        <w:rPr>
          <w:rFonts w:hint="eastAsia"/>
          <w:b w:val="0"/>
          <w:bCs w:val="0"/>
          <w:i w:val="0"/>
          <w:iCs w:val="0"/>
          <w:sz w:val="22"/>
          <w:szCs w:val="28"/>
          <w:lang w:val="en-US" w:eastAsia="zh-CN"/>
        </w:rPr>
      </w:pPr>
      <w:r>
        <w:rPr>
          <w:rFonts w:hint="eastAsia"/>
          <w:b w:val="0"/>
          <w:bCs w:val="0"/>
          <w:i w:val="0"/>
          <w:iCs w:val="0"/>
          <w:sz w:val="22"/>
          <w:szCs w:val="28"/>
          <w:lang w:val="en-US" w:eastAsia="zh-CN"/>
        </w:rPr>
        <w:t>危机冲击传染——企业破产，产出大幅度下跌</w:t>
      </w:r>
    </w:p>
    <w:p>
      <w:pPr>
        <w:widowControl w:val="0"/>
        <w:numPr>
          <w:ilvl w:val="0"/>
          <w:numId w:val="0"/>
        </w:numPr>
        <w:ind w:leftChars="0"/>
        <w:jc w:val="both"/>
        <w:rPr>
          <w:rFonts w:hint="default"/>
          <w:b w:val="0"/>
          <w:bCs w:val="0"/>
          <w:i w:val="0"/>
          <w:iCs w:val="0"/>
          <w:sz w:val="22"/>
          <w:szCs w:val="28"/>
          <w:lang w:val="en-US" w:eastAsia="zh-CN"/>
        </w:rPr>
      </w:pPr>
      <w:r>
        <w:rPr>
          <w:rFonts w:hint="eastAsia"/>
          <w:b w:val="0"/>
          <w:bCs w:val="0"/>
          <w:i w:val="0"/>
          <w:iCs w:val="0"/>
          <w:sz w:val="22"/>
          <w:szCs w:val="28"/>
          <w:lang w:val="en-US" w:eastAsia="zh-CN"/>
        </w:rPr>
        <w:t>危机加重原因：IMF援救计划&amp;政府“以邻为壑”的政策——流动性困难&amp;厌恶风险</w:t>
      </w:r>
    </w:p>
    <w:p>
      <w:pPr>
        <w:widowControl w:val="0"/>
        <w:numPr>
          <w:ilvl w:val="0"/>
          <w:numId w:val="0"/>
        </w:numPr>
        <w:ind w:leftChars="0"/>
        <w:jc w:val="both"/>
        <w:rPr>
          <w:rFonts w:hint="default"/>
          <w:b w:val="0"/>
          <w:bCs w:val="0"/>
          <w:i w:val="0"/>
          <w:iCs w:val="0"/>
          <w:sz w:val="22"/>
          <w:szCs w:val="28"/>
          <w:lang w:val="en-US" w:eastAsia="zh-CN"/>
        </w:rPr>
      </w:pPr>
      <w:r>
        <w:rPr>
          <w:rFonts w:hint="eastAsia"/>
          <w:b w:val="0"/>
          <w:bCs w:val="0"/>
          <w:i w:val="0"/>
          <w:iCs w:val="0"/>
          <w:sz w:val="22"/>
          <w:szCs w:val="28"/>
          <w:lang w:val="en-US" w:eastAsia="zh-CN"/>
        </w:rPr>
        <w:t>盯住美元制度使得亚洲地区极易受到信心危机的影响——美元对冲基金投机性影响</w:t>
      </w:r>
    </w:p>
    <w:p>
      <w:pPr>
        <w:widowControl w:val="0"/>
        <w:numPr>
          <w:ilvl w:val="0"/>
          <w:numId w:val="0"/>
        </w:numPr>
        <w:ind w:leftChars="0"/>
        <w:jc w:val="both"/>
        <w:rPr>
          <w:rFonts w:hint="eastAsia"/>
          <w:b w:val="0"/>
          <w:bCs w:val="0"/>
          <w:i w:val="0"/>
          <w:iCs w:val="0"/>
          <w:sz w:val="22"/>
          <w:szCs w:val="28"/>
          <w:lang w:val="en-US" w:eastAsia="zh-CN"/>
        </w:rPr>
      </w:pP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孪生危机：包括银行危机和货币危机</w:t>
      </w: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val="0"/>
          <w:bCs w:val="0"/>
          <w:i w:val="0"/>
          <w:iCs w:val="0"/>
          <w:color w:val="auto"/>
          <w:sz w:val="22"/>
          <w:szCs w:val="28"/>
          <w:lang w:val="en-US" w:eastAsia="zh-CN"/>
        </w:rPr>
      </w:pPr>
      <w:r>
        <w:rPr>
          <w:rFonts w:hint="eastAsia"/>
          <w:b/>
          <w:bCs/>
          <w:i/>
          <w:iCs/>
          <w:color w:val="FF0000"/>
          <w:sz w:val="22"/>
          <w:szCs w:val="28"/>
          <w:lang w:val="en-US" w:eastAsia="zh-CN"/>
        </w:rPr>
        <w:t>人民币国际化：</w:t>
      </w:r>
      <w:r>
        <w:rPr>
          <w:rFonts w:hint="eastAsia"/>
          <w:b w:val="0"/>
          <w:bCs w:val="0"/>
          <w:i w:val="0"/>
          <w:iCs w:val="0"/>
          <w:color w:val="auto"/>
          <w:sz w:val="22"/>
          <w:szCs w:val="28"/>
          <w:lang w:val="en-US" w:eastAsia="zh-CN"/>
        </w:rPr>
        <w:t>积极而稳慎地推进资本账户开放，对于维护包括中国在内的广大新兴和发展中经济体的经济安全具有特殊重要的意义</w:t>
      </w:r>
    </w:p>
    <w:p>
      <w:pPr>
        <w:widowControl w:val="0"/>
        <w:numPr>
          <w:ilvl w:val="0"/>
          <w:numId w:val="0"/>
        </w:numPr>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要健全跨境资本流动“宏观审慎+微观审慎”两位一体要求</w:t>
      </w:r>
    </w:p>
    <w:p>
      <w:pPr>
        <w:widowControl w:val="0"/>
        <w:numPr>
          <w:ilvl w:val="0"/>
          <w:numId w:val="0"/>
        </w:numPr>
        <w:jc w:val="both"/>
        <w:rPr>
          <w:rFonts w:hint="eastAsia"/>
          <w:b w:val="0"/>
          <w:bCs w:val="0"/>
          <w:i w:val="0"/>
          <w:iCs w:val="0"/>
          <w:color w:val="auto"/>
          <w:sz w:val="22"/>
          <w:szCs w:val="28"/>
          <w:lang w:val="en-US" w:eastAsia="zh-CN"/>
        </w:rPr>
      </w:pPr>
      <w:r>
        <w:rPr>
          <w:rFonts w:hint="eastAsia"/>
          <w:b w:val="0"/>
          <w:bCs w:val="0"/>
          <w:i w:val="0"/>
          <w:iCs w:val="0"/>
          <w:color w:val="auto"/>
          <w:sz w:val="22"/>
          <w:szCs w:val="28"/>
          <w:lang w:val="en-US" w:eastAsia="zh-CN"/>
        </w:rPr>
        <w:t>宏观：防范跨境资本流动重大风险，维护外汇市场基本稳定</w:t>
      </w:r>
    </w:p>
    <w:p>
      <w:pPr>
        <w:widowControl w:val="0"/>
        <w:numPr>
          <w:ilvl w:val="0"/>
          <w:numId w:val="0"/>
        </w:numPr>
        <w:jc w:val="both"/>
        <w:rPr>
          <w:rFonts w:hint="eastAsia"/>
          <w:b w:val="0"/>
          <w:bCs w:val="0"/>
          <w:i w:val="0"/>
          <w:iCs w:val="0"/>
          <w:color w:val="auto"/>
          <w:sz w:val="22"/>
          <w:szCs w:val="28"/>
          <w:lang w:val="en-US" w:eastAsia="zh-CN"/>
        </w:rPr>
      </w:pPr>
    </w:p>
    <w:p>
      <w:pPr>
        <w:widowControl w:val="0"/>
        <w:numPr>
          <w:ilvl w:val="0"/>
          <w:numId w:val="0"/>
        </w:numPr>
        <w:jc w:val="both"/>
        <w:rPr>
          <w:rFonts w:hint="default"/>
          <w:b w:val="0"/>
          <w:bCs w:val="0"/>
          <w:i w:val="0"/>
          <w:iCs w:val="0"/>
          <w:color w:val="auto"/>
          <w:sz w:val="22"/>
          <w:szCs w:val="28"/>
          <w:lang w:val="en-US" w:eastAsia="zh-CN"/>
        </w:rPr>
      </w:pPr>
    </w:p>
    <w:p>
      <w:pPr>
        <w:widowControl w:val="0"/>
        <w:numPr>
          <w:ilvl w:val="0"/>
          <w:numId w:val="1"/>
        </w:numPr>
        <w:ind w:left="0" w:leftChars="0" w:firstLine="0" w:firstLineChars="0"/>
        <w:jc w:val="both"/>
        <w:rPr>
          <w:rFonts w:hint="eastAsia"/>
          <w:b/>
          <w:bCs/>
          <w:i/>
          <w:iCs/>
          <w:sz w:val="22"/>
          <w:szCs w:val="28"/>
          <w:lang w:val="en-US" w:eastAsia="zh-CN"/>
        </w:rPr>
      </w:pPr>
      <w:r>
        <w:rPr>
          <w:rFonts w:hint="eastAsia"/>
          <w:b/>
          <w:bCs/>
          <w:i/>
          <w:iCs/>
          <w:sz w:val="22"/>
          <w:szCs w:val="28"/>
          <w:lang w:val="en-US" w:eastAsia="zh-CN"/>
        </w:rPr>
        <w:t>国际货币体系</w:t>
      </w:r>
    </w:p>
    <w:p>
      <w:pPr>
        <w:widowControl w:val="0"/>
        <w:numPr>
          <w:ilvl w:val="0"/>
          <w:numId w:val="0"/>
        </w:numPr>
        <w:jc w:val="both"/>
        <w:rPr>
          <w:rFonts w:hint="eastAsia"/>
          <w:lang w:val="en-US" w:eastAsia="zh-CN"/>
        </w:rPr>
      </w:pPr>
      <w:r>
        <w:rPr>
          <w:rFonts w:hint="eastAsia"/>
          <w:lang w:val="en-US" w:eastAsia="zh-CN"/>
        </w:rPr>
        <w:t>国际货币体系概念：①必须确定某种形式的</w:t>
      </w:r>
      <w:r>
        <w:rPr>
          <w:rFonts w:hint="eastAsia"/>
          <w:b/>
          <w:bCs/>
          <w:lang w:val="en-US" w:eastAsia="zh-CN"/>
        </w:rPr>
        <w:t>国际储备货币</w:t>
      </w:r>
    </w:p>
    <w:p>
      <w:pPr>
        <w:widowControl w:val="0"/>
        <w:numPr>
          <w:ilvl w:val="0"/>
          <w:numId w:val="22"/>
        </w:numPr>
        <w:ind w:left="2520" w:leftChars="0" w:hanging="420" w:firstLineChars="0"/>
        <w:jc w:val="both"/>
        <w:rPr>
          <w:rFonts w:hint="default"/>
          <w:lang w:val="en-US" w:eastAsia="zh-CN"/>
        </w:rPr>
      </w:pPr>
      <w:r>
        <w:rPr>
          <w:rFonts w:hint="eastAsia"/>
          <w:lang w:val="en-US" w:eastAsia="zh-CN"/>
        </w:rPr>
        <w:t>便于国家间清算相互的债务余额</w:t>
      </w:r>
    </w:p>
    <w:p>
      <w:pPr>
        <w:widowControl w:val="0"/>
        <w:numPr>
          <w:ilvl w:val="0"/>
          <w:numId w:val="22"/>
        </w:numPr>
        <w:ind w:left="2520" w:leftChars="0" w:hanging="420" w:firstLineChars="0"/>
        <w:jc w:val="both"/>
        <w:rPr>
          <w:rFonts w:hint="default"/>
          <w:lang w:val="en-US" w:eastAsia="zh-CN"/>
        </w:rPr>
      </w:pPr>
      <w:r>
        <w:rPr>
          <w:rFonts w:hint="eastAsia"/>
          <w:lang w:val="en-US" w:eastAsia="zh-CN"/>
        </w:rPr>
        <w:t>维持国际支付原则，满足国际收支调整需求</w:t>
      </w:r>
    </w:p>
    <w:p>
      <w:pPr>
        <w:widowControl w:val="0"/>
        <w:numPr>
          <w:ilvl w:val="0"/>
          <w:numId w:val="22"/>
        </w:numPr>
        <w:ind w:left="2520" w:leftChars="0" w:hanging="420" w:firstLineChars="0"/>
        <w:jc w:val="both"/>
        <w:rPr>
          <w:rFonts w:hint="default"/>
          <w:lang w:val="en-US" w:eastAsia="zh-CN"/>
        </w:rPr>
      </w:pPr>
      <w:r>
        <w:rPr>
          <w:rFonts w:hint="eastAsia"/>
          <w:lang w:val="en-US" w:eastAsia="zh-CN"/>
        </w:rPr>
        <w:t>必要下干预外汇市场稳定本国货币的汇率</w:t>
      </w:r>
    </w:p>
    <w:p>
      <w:pPr>
        <w:widowControl w:val="0"/>
        <w:numPr>
          <w:ilvl w:val="0"/>
          <w:numId w:val="0"/>
        </w:numPr>
        <w:ind w:firstLine="1890" w:firstLineChars="900"/>
        <w:jc w:val="both"/>
        <w:rPr>
          <w:rFonts w:hint="eastAsia"/>
          <w:lang w:val="en-US" w:eastAsia="zh-CN"/>
        </w:rPr>
      </w:pPr>
      <w:r>
        <w:rPr>
          <w:rFonts w:hint="eastAsia"/>
          <w:lang w:val="en-US" w:eastAsia="zh-CN"/>
        </w:rPr>
        <w:t>②必须有相应的</w:t>
      </w:r>
      <w:r>
        <w:rPr>
          <w:rFonts w:hint="eastAsia"/>
          <w:b/>
          <w:bCs/>
          <w:lang w:val="en-US" w:eastAsia="zh-CN"/>
        </w:rPr>
        <w:t>汇率制度</w:t>
      </w:r>
      <w:r>
        <w:rPr>
          <w:rFonts w:hint="eastAsia"/>
          <w:lang w:val="en-US" w:eastAsia="zh-CN"/>
        </w:rPr>
        <w:t>安排</w:t>
      </w:r>
    </w:p>
    <w:p>
      <w:pPr>
        <w:widowControl w:val="0"/>
        <w:numPr>
          <w:ilvl w:val="0"/>
          <w:numId w:val="22"/>
        </w:numPr>
        <w:ind w:left="2520" w:leftChars="0" w:hanging="420" w:firstLineChars="0"/>
        <w:jc w:val="both"/>
        <w:rPr>
          <w:rFonts w:hint="default"/>
          <w:lang w:val="en-US" w:eastAsia="zh-CN"/>
        </w:rPr>
      </w:pPr>
      <w:r>
        <w:rPr>
          <w:rFonts w:hint="eastAsia"/>
          <w:lang w:val="en-US" w:eastAsia="zh-CN"/>
        </w:rPr>
        <w:t>维持各国货币间的汇率，爬行盯住等</w:t>
      </w:r>
    </w:p>
    <w:p>
      <w:pPr>
        <w:widowControl w:val="0"/>
        <w:numPr>
          <w:ilvl w:val="0"/>
          <w:numId w:val="0"/>
        </w:numPr>
        <w:ind w:firstLine="1890" w:firstLineChars="900"/>
        <w:jc w:val="both"/>
        <w:rPr>
          <w:rFonts w:hint="default"/>
          <w:lang w:val="en-US" w:eastAsia="zh-CN"/>
        </w:rPr>
      </w:pPr>
      <w:r>
        <w:rPr>
          <w:rFonts w:hint="eastAsia"/>
          <w:lang w:val="en-US" w:eastAsia="zh-CN"/>
        </w:rPr>
        <w:t>③必须有</w:t>
      </w:r>
      <w:r>
        <w:rPr>
          <w:rFonts w:hint="eastAsia"/>
          <w:b/>
          <w:bCs/>
          <w:lang w:val="en-US" w:eastAsia="zh-CN"/>
        </w:rPr>
        <w:t>国际收支的调节</w:t>
      </w:r>
      <w:r>
        <w:rPr>
          <w:rFonts w:hint="eastAsia"/>
          <w:lang w:val="en-US" w:eastAsia="zh-CN"/>
        </w:rPr>
        <w:t>方式</w:t>
      </w:r>
    </w:p>
    <w:p>
      <w:pPr>
        <w:widowControl w:val="0"/>
        <w:numPr>
          <w:ilvl w:val="0"/>
          <w:numId w:val="22"/>
        </w:numPr>
        <w:ind w:left="2520" w:leftChars="0" w:hanging="420" w:firstLineChars="0"/>
        <w:jc w:val="both"/>
        <w:rPr>
          <w:rFonts w:hint="eastAsia"/>
          <w:lang w:val="en-US" w:eastAsia="zh-CN"/>
        </w:rPr>
      </w:pPr>
      <w:r>
        <w:rPr>
          <w:rFonts w:hint="eastAsia"/>
          <w:lang w:val="en-US" w:eastAsia="zh-CN"/>
        </w:rPr>
        <w:t>方便循环、平衡周转国际储备货币，实现分配</w:t>
      </w:r>
    </w:p>
    <w:p>
      <w:pPr>
        <w:widowControl w:val="0"/>
        <w:numPr>
          <w:ilvl w:val="0"/>
          <w:numId w:val="0"/>
        </w:numPr>
        <w:jc w:val="both"/>
        <w:rPr>
          <w:rFonts w:hint="default"/>
          <w:lang w:val="en-US" w:eastAsia="zh-CN"/>
        </w:rPr>
      </w:pPr>
      <w:r>
        <w:rPr>
          <w:rFonts w:hint="default"/>
          <w:lang w:val="en-US" w:eastAsia="zh-CN"/>
        </w:rPr>
        <w:drawing>
          <wp:anchor distT="0" distB="0" distL="114300" distR="114300" simplePos="0" relativeHeight="251670528" behindDoc="0" locked="0" layoutInCell="1" allowOverlap="1">
            <wp:simplePos x="0" y="0"/>
            <wp:positionH relativeFrom="column">
              <wp:posOffset>415925</wp:posOffset>
            </wp:positionH>
            <wp:positionV relativeFrom="paragraph">
              <wp:posOffset>106045</wp:posOffset>
            </wp:positionV>
            <wp:extent cx="3188335" cy="1854835"/>
            <wp:effectExtent l="0" t="6350" r="0" b="18415"/>
            <wp:wrapNone/>
            <wp:docPr id="9" name="图示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eastAsia"/>
          <w:b/>
          <w:bCs/>
          <w:i/>
          <w:iCs/>
          <w:sz w:val="22"/>
          <w:szCs w:val="28"/>
          <w:u w:val="single"/>
          <w:lang w:val="en-US" w:eastAsia="zh-CN"/>
        </w:rPr>
      </w:pPr>
      <w:r>
        <w:rPr>
          <w:rFonts w:hint="eastAsia"/>
          <w:b/>
          <w:bCs/>
          <w:i/>
          <w:iCs/>
          <w:sz w:val="22"/>
          <w:szCs w:val="28"/>
          <w:u w:val="single"/>
          <w:lang w:val="en-US" w:eastAsia="zh-CN"/>
        </w:rPr>
        <w:t>布雷顿森林体系崩溃的的内在原因：</w:t>
      </w:r>
    </w:p>
    <w:p>
      <w:pPr>
        <w:widowControl w:val="0"/>
        <w:numPr>
          <w:ilvl w:val="0"/>
          <w:numId w:val="0"/>
        </w:numPr>
        <w:jc w:val="both"/>
        <w:rPr>
          <w:rFonts w:hint="eastAsia"/>
          <w:b w:val="0"/>
          <w:bCs w:val="0"/>
          <w:i w:val="0"/>
          <w:iCs w:val="0"/>
          <w:sz w:val="22"/>
          <w:szCs w:val="28"/>
          <w:highlight w:val="cyan"/>
          <w:lang w:val="en-US" w:eastAsia="zh-CN"/>
        </w:rPr>
      </w:pPr>
      <w:r>
        <w:rPr>
          <w:rFonts w:hint="eastAsia"/>
          <w:b w:val="0"/>
          <w:bCs w:val="0"/>
          <w:i w:val="0"/>
          <w:iCs w:val="0"/>
          <w:sz w:val="22"/>
          <w:szCs w:val="28"/>
          <w:lang w:val="en-US" w:eastAsia="zh-CN"/>
        </w:rPr>
        <w:t>解释一：</w:t>
      </w:r>
      <w:r>
        <w:rPr>
          <w:rFonts w:hint="eastAsia"/>
          <w:b/>
          <w:bCs/>
          <w:i w:val="0"/>
          <w:iCs w:val="0"/>
          <w:sz w:val="22"/>
          <w:szCs w:val="28"/>
          <w:highlight w:val="cyan"/>
          <w:lang w:val="en-US" w:eastAsia="zh-CN"/>
        </w:rPr>
        <w:t>特里芬难题</w:t>
      </w:r>
      <w:r>
        <w:rPr>
          <w:rFonts w:hint="eastAsia"/>
          <w:b w:val="0"/>
          <w:bCs w:val="0"/>
          <w:i w:val="0"/>
          <w:iCs w:val="0"/>
          <w:sz w:val="22"/>
          <w:szCs w:val="28"/>
          <w:highlight w:val="cyan"/>
          <w:lang w:val="en-US" w:eastAsia="zh-CN"/>
        </w:rPr>
        <w:t>：美元的流动性提供与美元的稳定币值之间的矛盾；</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美元发行供应增加，流动性增加，但黄金的供应速度跟不上，导致美元币值不稳定。</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解释二：格雷欣法则：劣币驱逐良币，美元替换黄金</w:t>
      </w: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eastAsia"/>
          <w:b/>
          <w:bCs/>
          <w:i/>
          <w:iCs/>
          <w:sz w:val="22"/>
          <w:szCs w:val="28"/>
          <w:u w:val="single"/>
          <w:lang w:val="en-US" w:eastAsia="zh-CN"/>
        </w:rPr>
      </w:pPr>
      <w:r>
        <w:rPr>
          <w:rFonts w:hint="eastAsia"/>
          <w:b/>
          <w:bCs/>
          <w:i/>
          <w:iCs/>
          <w:sz w:val="22"/>
          <w:szCs w:val="28"/>
          <w:u w:val="single"/>
          <w:lang w:val="en-US" w:eastAsia="zh-CN"/>
        </w:rPr>
        <w:t>对布雷顿森林体系的评价</w:t>
      </w:r>
    </w:p>
    <w:p>
      <w:pPr>
        <w:widowControl w:val="0"/>
        <w:numPr>
          <w:ilvl w:val="0"/>
          <w:numId w:val="0"/>
        </w:numPr>
        <w:jc w:val="both"/>
        <w:rPr>
          <w:rFonts w:hint="eastAsia"/>
          <w:b w:val="0"/>
          <w:bCs w:val="0"/>
          <w:i w:val="0"/>
          <w:iCs w:val="0"/>
          <w:sz w:val="22"/>
          <w:szCs w:val="28"/>
          <w:lang w:val="en-US" w:eastAsia="zh-CN"/>
        </w:rPr>
      </w:pPr>
      <w:r>
        <w:rPr>
          <w:rFonts w:hint="eastAsia"/>
          <w:b w:val="0"/>
          <w:bCs w:val="0"/>
          <w:i w:val="0"/>
          <w:iCs w:val="0"/>
          <w:sz w:val="22"/>
          <w:szCs w:val="28"/>
          <w:lang w:val="en-US" w:eastAsia="zh-CN"/>
        </w:rPr>
        <w:t>（1）正面评价：</w:t>
      </w:r>
    </w:p>
    <w:p>
      <w:pPr>
        <w:widowControl w:val="0"/>
        <w:numPr>
          <w:ilvl w:val="0"/>
          <w:numId w:val="23"/>
        </w:numPr>
        <w:ind w:left="420" w:leftChars="0" w:hanging="420" w:firstLine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消除了二战前资本主义国家之间的混乱的国际货币秩序，为世界经济增长创造了有利的条件；</w:t>
      </w:r>
    </w:p>
    <w:p>
      <w:pPr>
        <w:widowControl w:val="0"/>
        <w:numPr>
          <w:ilvl w:val="0"/>
          <w:numId w:val="23"/>
        </w:numPr>
        <w:ind w:left="420" w:leftChars="0" w:hanging="420" w:firstLine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固定汇率制度为国际贸易和国际投资提供了极大的便利。</w:t>
      </w:r>
    </w:p>
    <w:p>
      <w:pPr>
        <w:widowControl w:val="0"/>
        <w:numPr>
          <w:ilvl w:val="0"/>
          <w:numId w:val="0"/>
        </w:numPr>
        <w:ind w:left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（2）负面评价：</w:t>
      </w:r>
    </w:p>
    <w:p>
      <w:pPr>
        <w:widowControl w:val="0"/>
        <w:numPr>
          <w:ilvl w:val="0"/>
          <w:numId w:val="23"/>
        </w:numPr>
        <w:ind w:left="420" w:leftChars="0" w:hanging="420" w:firstLineChars="0"/>
        <w:jc w:val="both"/>
        <w:rPr>
          <w:rFonts w:hint="eastAsia"/>
          <w:b/>
          <w:bCs/>
          <w:i w:val="0"/>
          <w:iCs w:val="0"/>
          <w:sz w:val="22"/>
          <w:szCs w:val="28"/>
          <w:highlight w:val="cyan"/>
          <w:lang w:val="en-US" w:eastAsia="zh-CN"/>
        </w:rPr>
      </w:pPr>
      <w:r>
        <w:rPr>
          <w:rFonts w:hint="eastAsia"/>
          <w:b/>
          <w:bCs/>
          <w:i w:val="0"/>
          <w:iCs w:val="0"/>
          <w:sz w:val="22"/>
          <w:szCs w:val="28"/>
          <w:highlight w:val="cyan"/>
          <w:lang w:val="en-US" w:eastAsia="zh-CN"/>
        </w:rPr>
        <w:t>在国际清偿力提供方面，存在特里芬难题；（当今仍未解决，单一国家货币）</w:t>
      </w:r>
    </w:p>
    <w:p>
      <w:pPr>
        <w:widowControl w:val="0"/>
        <w:numPr>
          <w:ilvl w:val="0"/>
          <w:numId w:val="23"/>
        </w:numPr>
        <w:ind w:left="420" w:leftChars="0" w:hanging="420" w:firstLineChars="0"/>
        <w:jc w:val="both"/>
        <w:rPr>
          <w:rFonts w:hint="eastAsia"/>
          <w:b w:val="0"/>
          <w:bCs w:val="0"/>
          <w:i w:val="0"/>
          <w:iCs w:val="0"/>
          <w:sz w:val="22"/>
          <w:szCs w:val="28"/>
          <w:lang w:val="en-US" w:eastAsia="zh-CN"/>
        </w:rPr>
      </w:pPr>
      <w:r>
        <w:rPr>
          <w:rFonts w:hint="eastAsia"/>
          <w:b w:val="0"/>
          <w:bCs w:val="0"/>
          <w:i w:val="0"/>
          <w:iCs w:val="0"/>
          <w:sz w:val="22"/>
          <w:szCs w:val="28"/>
          <w:lang w:val="en-US" w:eastAsia="zh-CN"/>
        </w:rPr>
        <w:t>在国际收支调整机制方面，在实际运行中，规则得不到遵守，始终没有形成正常的国际收支调节和资本流动的秩序。</w:t>
      </w: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default"/>
          <w:b w:val="0"/>
          <w:bCs w:val="0"/>
          <w:i w:val="0"/>
          <w:iCs w:val="0"/>
          <w:sz w:val="22"/>
          <w:szCs w:val="28"/>
          <w:highlight w:val="cyan"/>
          <w:lang w:val="en-US" w:eastAsia="zh-CN"/>
        </w:rPr>
      </w:pPr>
      <w:r>
        <w:rPr>
          <w:rFonts w:hint="eastAsia"/>
          <w:b w:val="0"/>
          <w:bCs w:val="0"/>
          <w:i w:val="0"/>
          <w:iCs w:val="0"/>
          <w:sz w:val="22"/>
          <w:szCs w:val="28"/>
          <w:highlight w:val="cyan"/>
          <w:lang w:val="en-US" w:eastAsia="zh-CN"/>
        </w:rPr>
        <w:t>结合牙买加体系，布雷顿森林体系，思考一下国际货币体系存在的问题</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《牙买加体系》：</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1.</w:t>
      </w:r>
      <w:r>
        <w:rPr>
          <w:rFonts w:hint="default"/>
          <w:b w:val="0"/>
          <w:bCs w:val="0"/>
          <w:i w:val="0"/>
          <w:iCs w:val="0"/>
          <w:sz w:val="22"/>
          <w:szCs w:val="28"/>
          <w:lang w:val="en-US" w:eastAsia="zh-CN"/>
        </w:rPr>
        <w:t>浮动汇率合法化</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2.</w:t>
      </w:r>
      <w:r>
        <w:rPr>
          <w:rFonts w:hint="default"/>
          <w:b w:val="0"/>
          <w:bCs w:val="0"/>
          <w:i w:val="0"/>
          <w:iCs w:val="0"/>
          <w:sz w:val="22"/>
          <w:szCs w:val="28"/>
          <w:lang w:val="en-US" w:eastAsia="zh-CN"/>
        </w:rPr>
        <w:t>黄金非货币化</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3.</w:t>
      </w:r>
      <w:r>
        <w:rPr>
          <w:rFonts w:hint="default"/>
          <w:b w:val="0"/>
          <w:bCs w:val="0"/>
          <w:i w:val="0"/>
          <w:iCs w:val="0"/>
          <w:sz w:val="22"/>
          <w:szCs w:val="28"/>
          <w:lang w:val="en-US" w:eastAsia="zh-CN"/>
        </w:rPr>
        <w:t>提高特别提款权</w:t>
      </w:r>
      <w:r>
        <w:rPr>
          <w:rFonts w:hint="eastAsia"/>
          <w:b w:val="0"/>
          <w:bCs w:val="0"/>
          <w:i w:val="0"/>
          <w:iCs w:val="0"/>
          <w:sz w:val="22"/>
          <w:szCs w:val="28"/>
          <w:lang w:val="en-US" w:eastAsia="zh-CN"/>
        </w:rPr>
        <w:t>SDR</w:t>
      </w:r>
      <w:r>
        <w:rPr>
          <w:rFonts w:hint="default"/>
          <w:b w:val="0"/>
          <w:bCs w:val="0"/>
          <w:i w:val="0"/>
          <w:iCs w:val="0"/>
          <w:sz w:val="22"/>
          <w:szCs w:val="28"/>
          <w:lang w:val="en-US" w:eastAsia="zh-CN"/>
        </w:rPr>
        <w:t>的国际储备地位</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4.</w:t>
      </w:r>
      <w:r>
        <w:rPr>
          <w:rFonts w:hint="default"/>
          <w:b w:val="0"/>
          <w:bCs w:val="0"/>
          <w:i w:val="0"/>
          <w:iCs w:val="0"/>
          <w:sz w:val="22"/>
          <w:szCs w:val="28"/>
          <w:lang w:val="en-US" w:eastAsia="zh-CN"/>
        </w:rPr>
        <w:t>扩大对发展中国家的资金融通</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5.</w:t>
      </w:r>
      <w:r>
        <w:rPr>
          <w:rFonts w:hint="default"/>
          <w:b w:val="0"/>
          <w:bCs w:val="0"/>
          <w:i w:val="0"/>
          <w:iCs w:val="0"/>
          <w:sz w:val="22"/>
          <w:szCs w:val="28"/>
          <w:lang w:val="en-US" w:eastAsia="zh-CN"/>
        </w:rPr>
        <w:t>增加会员国的基金份额</w:t>
      </w:r>
    </w:p>
    <w:p>
      <w:pPr>
        <w:widowControl w:val="0"/>
        <w:numPr>
          <w:ilvl w:val="0"/>
          <w:numId w:val="0"/>
        </w:numPr>
        <w:jc w:val="both"/>
        <w:rPr>
          <w:rFonts w:hint="default"/>
          <w:b w:val="0"/>
          <w:bCs w:val="0"/>
          <w:i w:val="0"/>
          <w:iCs w:val="0"/>
          <w:sz w:val="22"/>
          <w:szCs w:val="28"/>
          <w:lang w:val="en-US" w:eastAsia="zh-CN"/>
        </w:rPr>
      </w:pPr>
      <w:r>
        <w:rPr>
          <w:rFonts w:hint="default"/>
          <w:b w:val="0"/>
          <w:bCs w:val="0"/>
          <w:i w:val="0"/>
          <w:iCs w:val="0"/>
          <w:sz w:val="22"/>
          <w:szCs w:val="28"/>
          <w:lang w:val="en-US" w:eastAsia="zh-CN"/>
        </w:rPr>
        <w:t>《牙买加协议》签订后的国际货币制度实际上是以美元为中心的多元化国际储</w:t>
      </w:r>
    </w:p>
    <w:p>
      <w:pPr>
        <w:widowControl w:val="0"/>
        <w:numPr>
          <w:ilvl w:val="0"/>
          <w:numId w:val="0"/>
        </w:numPr>
        <w:jc w:val="both"/>
        <w:rPr>
          <w:rFonts w:hint="default"/>
          <w:b w:val="0"/>
          <w:bCs w:val="0"/>
          <w:i w:val="0"/>
          <w:iCs w:val="0"/>
          <w:sz w:val="22"/>
          <w:szCs w:val="28"/>
          <w:lang w:val="en-US" w:eastAsia="zh-CN"/>
        </w:rPr>
      </w:pPr>
      <w:r>
        <w:rPr>
          <w:rFonts w:hint="default"/>
          <w:b w:val="0"/>
          <w:bCs w:val="0"/>
          <w:i w:val="0"/>
          <w:iCs w:val="0"/>
          <w:sz w:val="22"/>
          <w:szCs w:val="28"/>
          <w:lang w:val="en-US" w:eastAsia="zh-CN"/>
        </w:rPr>
        <w:t>备和浮动汇率的体系。其典型特点是货币的多元化和汇率制度的多元化</w:t>
      </w:r>
      <w:r>
        <w:rPr>
          <w:rFonts w:hint="eastAsia"/>
          <w:b w:val="0"/>
          <w:bCs w:val="0"/>
          <w:i w:val="0"/>
          <w:iCs w:val="0"/>
          <w:sz w:val="22"/>
          <w:szCs w:val="28"/>
          <w:lang w:val="en-US" w:eastAsia="zh-CN"/>
        </w:rPr>
        <w:t>。</w:t>
      </w:r>
    </w:p>
    <w:p>
      <w:pPr>
        <w:widowControl w:val="0"/>
        <w:numPr>
          <w:ilvl w:val="0"/>
          <w:numId w:val="0"/>
        </w:numPr>
        <w:jc w:val="both"/>
        <w:rPr>
          <w:rFonts w:hint="eastAsia"/>
          <w:b w:val="0"/>
          <w:bCs w:val="0"/>
          <w:i w:val="0"/>
          <w:iCs w:val="0"/>
          <w:sz w:val="22"/>
          <w:szCs w:val="28"/>
          <w:lang w:val="en-US" w:eastAsia="zh-CN"/>
        </w:rPr>
      </w:pPr>
      <w:r>
        <w:rPr>
          <w:rFonts w:hint="eastAsia"/>
          <w:b/>
          <w:bCs/>
          <w:i/>
          <w:iCs/>
          <w:sz w:val="22"/>
          <w:szCs w:val="28"/>
          <w:u w:val="single"/>
          <w:lang w:val="en-US" w:eastAsia="zh-CN"/>
        </w:rPr>
        <w:t>存在问题：</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w:t>
      </w:r>
      <w:r>
        <w:rPr>
          <w:rFonts w:hint="default"/>
          <w:b w:val="0"/>
          <w:bCs w:val="0"/>
          <w:i w:val="0"/>
          <w:iCs w:val="0"/>
          <w:sz w:val="22"/>
          <w:szCs w:val="28"/>
          <w:lang w:val="en-US" w:eastAsia="zh-CN"/>
        </w:rPr>
        <w:t>实际汇率的波动对各国经济产生重大影响；</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w:t>
      </w:r>
      <w:r>
        <w:rPr>
          <w:rFonts w:hint="default"/>
          <w:b w:val="0"/>
          <w:bCs w:val="0"/>
          <w:i w:val="0"/>
          <w:iCs w:val="0"/>
          <w:sz w:val="22"/>
          <w:szCs w:val="28"/>
          <w:lang w:val="en-US" w:eastAsia="zh-CN"/>
        </w:rPr>
        <w:t>在当前的制度中，各国尤其是主要储备货币国家倾向于为了国内的政策目标而操纵</w:t>
      </w:r>
    </w:p>
    <w:p>
      <w:pPr>
        <w:widowControl w:val="0"/>
        <w:numPr>
          <w:ilvl w:val="0"/>
          <w:numId w:val="0"/>
        </w:numPr>
        <w:jc w:val="both"/>
        <w:rPr>
          <w:rFonts w:hint="default"/>
          <w:b w:val="0"/>
          <w:bCs w:val="0"/>
          <w:i w:val="0"/>
          <w:iCs w:val="0"/>
          <w:sz w:val="22"/>
          <w:szCs w:val="28"/>
          <w:lang w:val="en-US" w:eastAsia="zh-CN"/>
        </w:rPr>
      </w:pPr>
      <w:r>
        <w:rPr>
          <w:rFonts w:hint="default"/>
          <w:b w:val="0"/>
          <w:bCs w:val="0"/>
          <w:i w:val="0"/>
          <w:iCs w:val="0"/>
          <w:sz w:val="22"/>
          <w:szCs w:val="28"/>
          <w:lang w:val="en-US" w:eastAsia="zh-CN"/>
        </w:rPr>
        <w:t>汇率，将其维持在国内政策目标所需要的水平，而不顾对其他国家的影响；</w:t>
      </w: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w:t>
      </w:r>
      <w:r>
        <w:rPr>
          <w:rFonts w:hint="default"/>
          <w:b w:val="0"/>
          <w:bCs w:val="0"/>
          <w:i w:val="0"/>
          <w:iCs w:val="0"/>
          <w:sz w:val="22"/>
          <w:szCs w:val="28"/>
          <w:lang w:val="en-US" w:eastAsia="zh-CN"/>
        </w:rPr>
        <w:t>在当前的制度中，美国等储备货币国家的国际收支状态仍然对国际货币的供给和需</w:t>
      </w:r>
    </w:p>
    <w:p>
      <w:pPr>
        <w:widowControl w:val="0"/>
        <w:numPr>
          <w:ilvl w:val="0"/>
          <w:numId w:val="0"/>
        </w:numPr>
        <w:jc w:val="both"/>
        <w:rPr>
          <w:rFonts w:hint="default"/>
          <w:b w:val="0"/>
          <w:bCs w:val="0"/>
          <w:i w:val="0"/>
          <w:iCs w:val="0"/>
          <w:sz w:val="22"/>
          <w:szCs w:val="28"/>
          <w:lang w:val="en-US" w:eastAsia="zh-CN"/>
        </w:rPr>
      </w:pPr>
      <w:r>
        <w:rPr>
          <w:rFonts w:hint="default"/>
          <w:b w:val="0"/>
          <w:bCs w:val="0"/>
          <w:i w:val="0"/>
          <w:iCs w:val="0"/>
          <w:sz w:val="22"/>
          <w:szCs w:val="28"/>
          <w:lang w:val="en-US" w:eastAsia="zh-CN"/>
        </w:rPr>
        <w:t>求产生极为重要的影响，而其货币政策的变化不一定符合其他国家或国际整体范围的利益。</w:t>
      </w:r>
    </w:p>
    <w:p>
      <w:pPr>
        <w:widowControl w:val="0"/>
        <w:numPr>
          <w:ilvl w:val="0"/>
          <w:numId w:val="0"/>
        </w:numPr>
        <w:jc w:val="both"/>
        <w:rPr>
          <w:rFonts w:hint="default"/>
          <w:b w:val="0"/>
          <w:bCs w:val="0"/>
          <w:i w:val="0"/>
          <w:iCs w:val="0"/>
          <w:sz w:val="22"/>
          <w:szCs w:val="28"/>
          <w:lang w:val="en-US" w:eastAsia="zh-CN"/>
        </w:rPr>
      </w:pPr>
    </w:p>
    <w:p>
      <w:pPr>
        <w:widowControl w:val="0"/>
        <w:numPr>
          <w:ilvl w:val="0"/>
          <w:numId w:val="0"/>
        </w:numPr>
        <w:jc w:val="both"/>
        <w:rPr>
          <w:rFonts w:hint="default"/>
          <w:b w:val="0"/>
          <w:bCs w:val="0"/>
          <w:i w:val="0"/>
          <w:iCs w:val="0"/>
          <w:sz w:val="22"/>
          <w:szCs w:val="28"/>
          <w:lang w:val="en-US" w:eastAsia="zh-CN"/>
        </w:rPr>
      </w:pPr>
      <w:r>
        <w:rPr>
          <w:rFonts w:hint="eastAsia"/>
          <w:b w:val="0"/>
          <w:bCs w:val="0"/>
          <w:i w:val="0"/>
          <w:iCs w:val="0"/>
          <w:sz w:val="22"/>
          <w:szCs w:val="28"/>
          <w:lang w:val="en-US" w:eastAsia="zh-CN"/>
        </w:rPr>
        <w:t>八个核心问题；五大机制</w:t>
      </w: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eastAsia"/>
          <w:b w:val="0"/>
          <w:bCs w:val="0"/>
          <w:i w:val="0"/>
          <w:iCs w:val="0"/>
          <w:sz w:val="22"/>
          <w:szCs w:val="28"/>
          <w:lang w:val="en-US" w:eastAsia="zh-CN"/>
        </w:rPr>
      </w:pPr>
    </w:p>
    <w:p>
      <w:pPr>
        <w:widowControl w:val="0"/>
        <w:numPr>
          <w:ilvl w:val="0"/>
          <w:numId w:val="0"/>
        </w:numPr>
        <w:jc w:val="both"/>
        <w:rPr>
          <w:rFonts w:hint="eastAsia"/>
          <w:b/>
          <w:bCs/>
          <w:i/>
          <w:iCs/>
          <w:sz w:val="22"/>
          <w:szCs w:val="28"/>
          <w:highlight w:val="cyan"/>
          <w:lang w:val="en-US" w:eastAsia="zh-CN"/>
        </w:rPr>
      </w:pPr>
      <w:r>
        <w:rPr>
          <w:rFonts w:hint="eastAsia"/>
          <w:b/>
          <w:bCs/>
          <w:i/>
          <w:iCs/>
          <w:sz w:val="22"/>
          <w:szCs w:val="28"/>
          <w:lang w:val="en-US" w:eastAsia="zh-CN"/>
        </w:rPr>
        <w:t>第八章 国际金融市场</w:t>
      </w:r>
      <w:r>
        <w:rPr>
          <w:rFonts w:hint="eastAsia"/>
          <w:b/>
          <w:bCs/>
          <w:i/>
          <w:iCs/>
          <w:sz w:val="22"/>
          <w:szCs w:val="28"/>
          <w:highlight w:val="cyan"/>
          <w:lang w:val="en-US" w:eastAsia="zh-CN"/>
        </w:rPr>
        <w:t>（必考）</w:t>
      </w:r>
    </w:p>
    <w:p>
      <w:pPr>
        <w:widowControl w:val="0"/>
        <w:numPr>
          <w:ilvl w:val="0"/>
          <w:numId w:val="0"/>
        </w:numPr>
        <w:jc w:val="both"/>
        <w:rPr>
          <w:rFonts w:hint="default"/>
          <w:b/>
          <w:bCs/>
          <w:i/>
          <w:iCs/>
          <w:sz w:val="22"/>
          <w:szCs w:val="28"/>
          <w:highlight w:val="cyan"/>
          <w:lang w:val="en-US" w:eastAsia="zh-CN"/>
        </w:rPr>
      </w:pPr>
    </w:p>
    <w:p>
      <w:pPr>
        <w:widowControl w:val="0"/>
        <w:numPr>
          <w:ilvl w:val="0"/>
          <w:numId w:val="0"/>
        </w:numPr>
        <w:jc w:val="both"/>
        <w:rPr>
          <w:rFonts w:hint="eastAsia"/>
          <w:b/>
          <w:bCs/>
          <w:i w:val="0"/>
          <w:iCs w:val="0"/>
          <w:sz w:val="20"/>
          <w:szCs w:val="22"/>
          <w:lang w:val="en-US" w:eastAsia="zh-CN"/>
        </w:rPr>
      </w:pPr>
      <w:r>
        <w:rPr>
          <w:rFonts w:hint="eastAsia"/>
          <w:b/>
          <w:bCs/>
          <w:i w:val="0"/>
          <w:iCs w:val="0"/>
          <w:sz w:val="20"/>
          <w:szCs w:val="22"/>
          <w:lang w:val="en-US" w:eastAsia="zh-CN"/>
        </w:rPr>
        <w:t>一般将欧洲货币市场视为离岸市场，经营的有欧洲银行贷款（各期限）、欧洲债券、同业拆放</w:t>
      </w:r>
    </w:p>
    <w:p>
      <w:pPr>
        <w:widowControl w:val="0"/>
        <w:numPr>
          <w:ilvl w:val="0"/>
          <w:numId w:val="0"/>
        </w:numPr>
        <w:jc w:val="both"/>
        <w:rPr>
          <w:rFonts w:hint="eastAsia"/>
          <w:b/>
          <w:bCs/>
          <w:i w:val="0"/>
          <w:iCs w:val="0"/>
          <w:sz w:val="20"/>
          <w:szCs w:val="22"/>
          <w:lang w:val="en-US" w:eastAsia="zh-CN"/>
        </w:rPr>
      </w:pPr>
      <w:r>
        <w:rPr>
          <w:rFonts w:hint="eastAsia"/>
          <w:b/>
          <w:bCs/>
          <w:i w:val="0"/>
          <w:iCs w:val="0"/>
          <w:sz w:val="20"/>
          <w:szCs w:val="22"/>
          <w:lang w:val="en-US" w:eastAsia="zh-CN"/>
        </w:rPr>
        <w:t>金融工具在不同市场上价格趋于一致。利率水平趋于一致，各国金融市场一体化程度就越高</w:t>
      </w:r>
    </w:p>
    <w:p>
      <w:pPr>
        <w:widowControl w:val="0"/>
        <w:numPr>
          <w:ilvl w:val="0"/>
          <w:numId w:val="0"/>
        </w:numPr>
        <w:jc w:val="both"/>
        <w:rPr>
          <w:rFonts w:hint="eastAsia"/>
          <w:b/>
          <w:bCs/>
          <w:i w:val="0"/>
          <w:iCs w:val="0"/>
          <w:sz w:val="20"/>
          <w:szCs w:val="22"/>
          <w:lang w:val="en-US" w:eastAsia="zh-CN"/>
        </w:rPr>
      </w:pPr>
      <w:r>
        <w:rPr>
          <w:rFonts w:hint="eastAsia"/>
          <w:b/>
          <w:bCs/>
          <w:i w:val="0"/>
          <w:iCs w:val="0"/>
          <w:sz w:val="20"/>
          <w:szCs w:val="22"/>
          <w:lang w:val="en-US" w:eastAsia="zh-CN"/>
        </w:rPr>
        <w:t>国际债券：借款人所在国的本地市场以外的市场发行的债券——外国债券、欧洲债券</w:t>
      </w:r>
    </w:p>
    <w:p>
      <w:pPr>
        <w:widowControl w:val="0"/>
        <w:numPr>
          <w:ilvl w:val="0"/>
          <w:numId w:val="24"/>
        </w:numPr>
        <w:ind w:left="420" w:leftChars="0" w:hanging="420" w:firstLineChars="0"/>
        <w:jc w:val="both"/>
        <w:rPr>
          <w:rFonts w:hint="default"/>
          <w:b/>
          <w:bCs/>
          <w:i w:val="0"/>
          <w:iCs w:val="0"/>
          <w:sz w:val="20"/>
          <w:szCs w:val="22"/>
          <w:lang w:val="en-US" w:eastAsia="zh-CN"/>
        </w:rPr>
      </w:pPr>
      <w:r>
        <w:rPr>
          <w:rFonts w:hint="eastAsia"/>
          <w:b/>
          <w:bCs/>
          <w:i w:val="0"/>
          <w:iCs w:val="0"/>
          <w:sz w:val="20"/>
          <w:szCs w:val="22"/>
          <w:lang w:val="en-US" w:eastAsia="zh-CN"/>
        </w:rPr>
        <w:t>外国债券：外国借款人在某国发行的</w:t>
      </w:r>
      <w:r>
        <w:rPr>
          <w:rFonts w:hint="eastAsia"/>
          <w:b/>
          <w:bCs/>
          <w:i w:val="0"/>
          <w:iCs w:val="0"/>
          <w:color w:val="0000FF"/>
          <w:sz w:val="20"/>
          <w:szCs w:val="22"/>
          <w:lang w:val="en-US" w:eastAsia="zh-CN"/>
        </w:rPr>
        <w:t>该国货币面值</w:t>
      </w:r>
      <w:r>
        <w:rPr>
          <w:rFonts w:hint="eastAsia"/>
          <w:b/>
          <w:bCs/>
          <w:i w:val="0"/>
          <w:iCs w:val="0"/>
          <w:sz w:val="20"/>
          <w:szCs w:val="22"/>
          <w:lang w:val="en-US" w:eastAsia="zh-CN"/>
        </w:rPr>
        <w:t>的债券</w:t>
      </w:r>
      <w:r>
        <w:rPr>
          <w:rFonts w:hint="eastAsia"/>
          <w:b w:val="0"/>
          <w:bCs w:val="0"/>
          <w:i w:val="0"/>
          <w:iCs w:val="0"/>
          <w:sz w:val="16"/>
          <w:szCs w:val="20"/>
          <w:lang w:val="en-US" w:eastAsia="zh-CN"/>
        </w:rPr>
        <w:t>——“扬基债券”“武士债券”“熊猫～”</w:t>
      </w:r>
    </w:p>
    <w:p>
      <w:pPr>
        <w:widowControl w:val="0"/>
        <w:numPr>
          <w:ilvl w:val="0"/>
          <w:numId w:val="24"/>
        </w:numPr>
        <w:ind w:left="420" w:leftChars="0" w:hanging="420" w:firstLineChars="0"/>
        <w:jc w:val="both"/>
        <w:rPr>
          <w:rFonts w:hint="default"/>
          <w:b/>
          <w:bCs/>
          <w:i w:val="0"/>
          <w:iCs w:val="0"/>
          <w:sz w:val="20"/>
          <w:szCs w:val="22"/>
          <w:lang w:val="en-US" w:eastAsia="zh-CN"/>
        </w:rPr>
      </w:pPr>
      <w:r>
        <w:rPr>
          <w:rFonts w:hint="eastAsia"/>
          <w:b/>
          <w:bCs/>
          <w:i w:val="0"/>
          <w:iCs w:val="0"/>
          <w:sz w:val="20"/>
          <w:szCs w:val="22"/>
          <w:lang w:val="en-US" w:eastAsia="zh-CN"/>
        </w:rPr>
        <w:t>欧洲债券：在某国发行的、以</w:t>
      </w:r>
      <w:r>
        <w:rPr>
          <w:rFonts w:hint="eastAsia"/>
          <w:b/>
          <w:bCs/>
          <w:i w:val="0"/>
          <w:iCs w:val="0"/>
          <w:color w:val="0000FF"/>
          <w:sz w:val="20"/>
          <w:szCs w:val="22"/>
          <w:lang w:val="en-US" w:eastAsia="zh-CN"/>
        </w:rPr>
        <w:t>境外币面值（非发行当地）</w:t>
      </w:r>
      <w:r>
        <w:rPr>
          <w:rFonts w:hint="eastAsia"/>
          <w:b/>
          <w:bCs/>
          <w:i w:val="0"/>
          <w:iCs w:val="0"/>
          <w:sz w:val="20"/>
          <w:szCs w:val="22"/>
          <w:lang w:val="en-US" w:eastAsia="zh-CN"/>
        </w:rPr>
        <w:t>发行的货币</w:t>
      </w:r>
      <w:r>
        <w:rPr>
          <w:rFonts w:hint="eastAsia"/>
          <w:b w:val="0"/>
          <w:bCs w:val="0"/>
          <w:i w:val="0"/>
          <w:iCs w:val="0"/>
          <w:sz w:val="16"/>
          <w:szCs w:val="20"/>
          <w:lang w:val="en-US" w:eastAsia="zh-CN"/>
        </w:rPr>
        <w:t>——人民币点心债券</w:t>
      </w:r>
    </w:p>
    <w:p>
      <w:pPr>
        <w:widowControl w:val="0"/>
        <w:numPr>
          <w:ilvl w:val="0"/>
          <w:numId w:val="0"/>
        </w:numPr>
        <w:jc w:val="both"/>
        <w:rPr>
          <w:rFonts w:hint="eastAsia"/>
          <w:b/>
          <w:bCs/>
          <w:i w:val="0"/>
          <w:iCs w:val="0"/>
          <w:sz w:val="20"/>
          <w:szCs w:val="22"/>
          <w:lang w:val="en-US" w:eastAsia="zh-CN"/>
        </w:rPr>
      </w:pPr>
    </w:p>
    <w:p>
      <w:pPr>
        <w:widowControl w:val="0"/>
        <w:numPr>
          <w:ilvl w:val="0"/>
          <w:numId w:val="0"/>
        </w:numPr>
        <w:jc w:val="both"/>
        <w:rPr>
          <w:rFonts w:hint="default"/>
          <w:b/>
          <w:bCs/>
          <w:i w:val="0"/>
          <w:iCs w:val="0"/>
          <w:sz w:val="20"/>
          <w:szCs w:val="22"/>
          <w:lang w:val="en-US" w:eastAsia="zh-CN"/>
        </w:rPr>
      </w:pPr>
      <w:r>
        <w:rPr>
          <w:rFonts w:hint="eastAsia"/>
          <w:b/>
          <w:bCs/>
          <w:i w:val="0"/>
          <w:iCs w:val="0"/>
          <w:sz w:val="20"/>
          <w:szCs w:val="22"/>
          <w:lang w:val="en-US" w:eastAsia="zh-CN"/>
        </w:rPr>
        <w:t>欧洲美元的最初来源：冷战后前苏联防止在美国的存款被冻结而转移到欧洲的美元存款</w:t>
      </w:r>
    </w:p>
    <w:p>
      <w:pPr>
        <w:widowControl w:val="0"/>
        <w:numPr>
          <w:ilvl w:val="0"/>
          <w:numId w:val="0"/>
        </w:numPr>
        <w:jc w:val="both"/>
        <w:rPr>
          <w:rFonts w:hint="eastAsia"/>
          <w:b/>
          <w:bCs/>
          <w:i w:val="0"/>
          <w:iCs w:val="0"/>
          <w:sz w:val="20"/>
          <w:szCs w:val="22"/>
          <w:lang w:val="en-US" w:eastAsia="zh-CN"/>
        </w:rPr>
      </w:pPr>
    </w:p>
    <w:p>
      <w:pPr>
        <w:widowControl w:val="0"/>
        <w:numPr>
          <w:ilvl w:val="0"/>
          <w:numId w:val="0"/>
        </w:numPr>
        <w:jc w:val="both"/>
        <w:rPr>
          <w:rFonts w:hint="eastAsia"/>
          <w:b/>
          <w:bCs/>
          <w:i w:val="0"/>
          <w:iCs w:val="0"/>
          <w:sz w:val="20"/>
          <w:szCs w:val="22"/>
          <w:lang w:val="en-US" w:eastAsia="zh-CN"/>
        </w:rPr>
      </w:pPr>
      <w:r>
        <w:rPr>
          <w:rFonts w:hint="eastAsia"/>
          <w:b/>
          <w:bCs/>
          <w:i w:val="0"/>
          <w:iCs w:val="0"/>
          <w:sz w:val="20"/>
          <w:szCs w:val="22"/>
          <w:lang w:val="en-US" w:eastAsia="zh-CN"/>
        </w:rPr>
        <w:t>国际金融市场上，货币不是流向利率高的地方，还要考虑通货膨胀、汇率波动等</w:t>
      </w:r>
    </w:p>
    <w:p>
      <w:pPr>
        <w:widowControl w:val="0"/>
        <w:numPr>
          <w:ilvl w:val="0"/>
          <w:numId w:val="0"/>
        </w:numPr>
        <w:jc w:val="both"/>
        <w:rPr>
          <w:rFonts w:hint="eastAsia"/>
          <w:b/>
          <w:bCs/>
          <w:i w:val="0"/>
          <w:iCs w:val="0"/>
          <w:sz w:val="20"/>
          <w:szCs w:val="22"/>
          <w:lang w:val="en-US" w:eastAsia="zh-CN"/>
        </w:rPr>
      </w:pPr>
      <w:r>
        <w:rPr>
          <w:rFonts w:hint="eastAsia"/>
          <w:b/>
          <w:bCs/>
          <w:i w:val="0"/>
          <w:iCs w:val="0"/>
          <w:sz w:val="20"/>
          <w:szCs w:val="22"/>
          <w:lang w:val="en-US" w:eastAsia="zh-CN"/>
        </w:rPr>
        <w:t>国际货币市场上常用工具：美国国库券、承兑汇票、CDs</w:t>
      </w:r>
    </w:p>
    <w:p>
      <w:pPr>
        <w:widowControl w:val="0"/>
        <w:numPr>
          <w:ilvl w:val="0"/>
          <w:numId w:val="0"/>
        </w:numPr>
        <w:jc w:val="both"/>
        <w:rPr>
          <w:rFonts w:hint="eastAsia"/>
          <w:b/>
          <w:bCs/>
          <w:i w:val="0"/>
          <w:iCs w:val="0"/>
          <w:sz w:val="20"/>
          <w:szCs w:val="22"/>
          <w:lang w:val="en-US" w:eastAsia="zh-CN"/>
        </w:rPr>
      </w:pPr>
    </w:p>
    <w:p>
      <w:pPr>
        <w:widowControl w:val="0"/>
        <w:numPr>
          <w:ilvl w:val="0"/>
          <w:numId w:val="0"/>
        </w:numPr>
        <w:jc w:val="both"/>
        <w:rPr>
          <w:rFonts w:hint="default"/>
          <w:b/>
          <w:bCs/>
          <w:i w:val="0"/>
          <w:iCs w:val="0"/>
          <w:sz w:val="20"/>
          <w:szCs w:val="22"/>
          <w:lang w:val="en-US" w:eastAsia="zh-CN"/>
        </w:rPr>
      </w:pPr>
      <w:r>
        <w:rPr>
          <w:rFonts w:hint="eastAsia"/>
          <w:b/>
          <w:bCs/>
          <w:i w:val="0"/>
          <w:iCs w:val="0"/>
          <w:sz w:val="20"/>
          <w:szCs w:val="22"/>
          <w:lang w:val="en-US" w:eastAsia="zh-CN"/>
        </w:rPr>
        <w:t>欧洲货币市场的基础：伦敦银行同业拆放利率LIBOR</w:t>
      </w:r>
    </w:p>
    <w:p>
      <w:pPr>
        <w:widowControl w:val="0"/>
        <w:numPr>
          <w:ilvl w:val="0"/>
          <w:numId w:val="0"/>
        </w:numPr>
        <w:jc w:val="both"/>
        <w:rPr>
          <w:rFonts w:hint="default"/>
          <w:b/>
          <w:bCs/>
          <w:i w:val="0"/>
          <w:iCs w:val="0"/>
          <w:sz w:val="20"/>
          <w:szCs w:val="22"/>
          <w:lang w:val="en-US" w:eastAsia="zh-CN"/>
        </w:rPr>
      </w:pPr>
      <w:r>
        <w:rPr>
          <w:sz w:val="20"/>
        </w:rPr>
        <mc:AlternateContent>
          <mc:Choice Requires="wps">
            <w:drawing>
              <wp:anchor distT="0" distB="0" distL="114300" distR="114300" simplePos="0" relativeHeight="251688960" behindDoc="0" locked="0" layoutInCell="1" allowOverlap="1">
                <wp:simplePos x="0" y="0"/>
                <wp:positionH relativeFrom="column">
                  <wp:posOffset>3698240</wp:posOffset>
                </wp:positionH>
                <wp:positionV relativeFrom="paragraph">
                  <wp:posOffset>46990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numPr>
                                <w:ilvl w:val="0"/>
                                <w:numId w:val="0"/>
                              </w:numPr>
                              <w:jc w:val="both"/>
                              <w:rPr>
                                <w:rFonts w:hint="eastAsia"/>
                                <w:b/>
                                <w:bCs/>
                                <w:i w:val="0"/>
                                <w:iCs w:val="0"/>
                                <w:color w:val="0000FF"/>
                                <w:sz w:val="20"/>
                                <w:szCs w:val="22"/>
                                <w:lang w:val="en-US" w:eastAsia="zh-CN"/>
                              </w:rPr>
                            </w:pPr>
                            <w:r>
                              <w:rPr>
                                <w:rFonts w:hint="eastAsia"/>
                                <w:b/>
                                <w:bCs/>
                                <w:i w:val="0"/>
                                <w:iCs w:val="0"/>
                                <w:color w:val="0000FF"/>
                                <w:sz w:val="20"/>
                                <w:szCs w:val="22"/>
                                <w:lang w:val="en-US" w:eastAsia="zh-CN"/>
                              </w:rPr>
                              <w:t>在岸业务与离岸业务一体型</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291.2pt;margin-top:3.7pt;height:144pt;width:144pt;mso-wrap-style:none;z-index:251688960;mso-width-relative:page;mso-height-relative:page;" fillcolor="#FFFFFF [3201]" filled="t" stroked="f" coordsize="21600,21600" o:gfxdata="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FgAAAGRycy9QSwECFAAUAAAACACH&#10;TuJAqul0xtoAAAAJAQAADwAAAAAAAAABACAAAAA4AAAAZHJzL2Rvd25yZXYueG1sUEsBAhQAFAAA&#10;AAgAh07iQGUWvpVJAgAAkAQAAA4AAAAAAAAAAQAgAAAAPwEAAGRycy9lMm9Eb2MueG1sUEsFBgAA&#10;AAAGAAYAWQEAAPoFAAAAAA==&#10;">
                <v:fill on="t" focussize="0,0"/>
                <v:stroke on="f" weight="0.5pt"/>
                <v:imagedata o:title=""/>
                <o:lock v:ext="edit" aspectratio="f"/>
                <v:textbox style="mso-fit-shape-to-text:t;">
                  <w:txbxContent>
                    <w:p>
                      <w:pPr>
                        <w:widowControl w:val="0"/>
                        <w:numPr>
                          <w:ilvl w:val="0"/>
                          <w:numId w:val="0"/>
                        </w:numPr>
                        <w:jc w:val="both"/>
                        <w:rPr>
                          <w:rFonts w:hint="eastAsia"/>
                          <w:b/>
                          <w:bCs/>
                          <w:i w:val="0"/>
                          <w:iCs w:val="0"/>
                          <w:color w:val="0000FF"/>
                          <w:sz w:val="20"/>
                          <w:szCs w:val="22"/>
                          <w:lang w:val="en-US" w:eastAsia="zh-CN"/>
                        </w:rPr>
                      </w:pPr>
                      <w:r>
                        <w:rPr>
                          <w:rFonts w:hint="eastAsia"/>
                          <w:b/>
                          <w:bCs/>
                          <w:i w:val="0"/>
                          <w:iCs w:val="0"/>
                          <w:color w:val="0000FF"/>
                          <w:sz w:val="20"/>
                          <w:szCs w:val="22"/>
                          <w:lang w:val="en-US" w:eastAsia="zh-CN"/>
                        </w:rPr>
                        <w:t>在岸业务与离岸业务一体型</w:t>
                      </w:r>
                    </w:p>
                  </w:txbxContent>
                </v:textbox>
              </v:shape>
            </w:pict>
          </mc:Fallback>
        </mc:AlternateContent>
      </w:r>
      <w:r>
        <w:rPr>
          <w:rFonts w:hint="default"/>
          <w:b/>
          <w:bCs/>
          <w:i w:val="0"/>
          <w:iCs w:val="0"/>
          <w:sz w:val="20"/>
          <w:szCs w:val="22"/>
          <w:lang w:val="en-US" w:eastAsia="zh-CN"/>
        </w:rPr>
        <w:drawing>
          <wp:inline distT="0" distB="0" distL="114300" distR="114300">
            <wp:extent cx="4019550" cy="1163320"/>
            <wp:effectExtent l="0" t="0" r="19050" b="5080"/>
            <wp:docPr id="15" name="图片 15" descr="截屏2024-06-10 10.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截屏2024-06-10 10.05.38"/>
                    <pic:cNvPicPr>
                      <a:picLocks noChangeAspect="1"/>
                    </pic:cNvPicPr>
                  </pic:nvPicPr>
                  <pic:blipFill>
                    <a:blip r:embed="rId30">
                      <a:clrChange>
                        <a:clrFrom>
                          <a:srgbClr val="FDFDFD">
                            <a:alpha val="100000"/>
                          </a:srgbClr>
                        </a:clrFrom>
                        <a:clrTo>
                          <a:srgbClr val="FDFDFD">
                            <a:alpha val="100000"/>
                            <a:alpha val="0"/>
                          </a:srgbClr>
                        </a:clrTo>
                      </a:clrChange>
                    </a:blip>
                    <a:stretch>
                      <a:fillRect/>
                    </a:stretch>
                  </pic:blipFill>
                  <pic:spPr>
                    <a:xfrm>
                      <a:off x="0" y="0"/>
                      <a:ext cx="4019550" cy="1163320"/>
                    </a:xfrm>
                    <a:prstGeom prst="rect">
                      <a:avLst/>
                    </a:prstGeom>
                  </pic:spPr>
                </pic:pic>
              </a:graphicData>
            </a:graphic>
          </wp:inline>
        </w:drawing>
      </w:r>
    </w:p>
    <w:p>
      <w:pPr>
        <w:widowControl w:val="0"/>
        <w:numPr>
          <w:ilvl w:val="0"/>
          <w:numId w:val="0"/>
        </w:numPr>
        <w:jc w:val="both"/>
        <w:rPr>
          <w:rFonts w:hint="eastAsia"/>
          <w:b/>
          <w:bCs/>
          <w:i/>
          <w:iCs/>
          <w:sz w:val="22"/>
          <w:szCs w:val="28"/>
          <w:lang w:val="en-US" w:eastAsia="zh-CN"/>
        </w:rPr>
      </w:pPr>
    </w:p>
    <w:p>
      <w:pPr>
        <w:widowControl w:val="0"/>
        <w:numPr>
          <w:ilvl w:val="0"/>
          <w:numId w:val="0"/>
        </w:numPr>
        <w:jc w:val="both"/>
        <w:rPr>
          <w:rFonts w:hint="default"/>
          <w:b w:val="0"/>
          <w:bCs w:val="0"/>
          <w:sz w:val="21"/>
          <w:szCs w:val="24"/>
          <w:lang w:val="en-US" w:eastAsia="zh-CN"/>
        </w:rPr>
      </w:pPr>
      <w:r>
        <w:rPr>
          <w:rFonts w:hint="eastAsia"/>
          <w:b/>
          <w:bCs/>
          <w:i/>
          <w:iCs/>
          <w:sz w:val="22"/>
          <w:szCs w:val="28"/>
          <w:lang w:val="en-US" w:eastAsia="zh-CN"/>
        </w:rPr>
        <w:t>*货币互换：</w:t>
      </w:r>
      <w:r>
        <w:rPr>
          <w:rFonts w:hint="eastAsia"/>
          <w:b w:val="0"/>
          <w:bCs w:val="0"/>
          <w:sz w:val="21"/>
          <w:szCs w:val="24"/>
          <w:lang w:val="en-US" w:eastAsia="zh-CN"/>
        </w:rPr>
        <w:t>互换不同币种、相同期限、等值资金及利率的背对背贷款/平行贷款</w:t>
      </w:r>
    </w:p>
    <w:p>
      <w:pPr>
        <w:widowControl w:val="0"/>
        <w:numPr>
          <w:ilvl w:val="0"/>
          <w:numId w:val="0"/>
        </w:numPr>
        <w:jc w:val="both"/>
        <w:rPr>
          <w:rFonts w:hint="default"/>
          <w:b w:val="0"/>
          <w:bCs w:val="0"/>
          <w:sz w:val="21"/>
          <w:szCs w:val="24"/>
          <w:lang w:val="en-US" w:eastAsia="zh-CN"/>
        </w:rPr>
      </w:pPr>
      <w:r>
        <w:rPr>
          <w:rFonts w:hint="eastAsia"/>
          <w:b/>
          <w:bCs/>
          <w:i/>
          <w:iCs/>
          <w:sz w:val="22"/>
          <w:szCs w:val="28"/>
          <w:lang w:val="en-US" w:eastAsia="zh-CN"/>
        </w:rPr>
        <w:t>*利率互换：</w:t>
      </w:r>
      <w:r>
        <w:rPr>
          <w:rFonts w:hint="eastAsia"/>
          <w:b w:val="0"/>
          <w:bCs w:val="0"/>
          <w:sz w:val="21"/>
          <w:szCs w:val="24"/>
          <w:lang w:val="en-US" w:eastAsia="zh-CN"/>
        </w:rPr>
        <w:t>债务币种相同互换不同形式利率（固定/浮动）的预约业务（方法：净额支付）</w:t>
      </w:r>
    </w:p>
    <w:p>
      <w:pPr>
        <w:widowControl w:val="0"/>
        <w:numPr>
          <w:ilvl w:val="0"/>
          <w:numId w:val="0"/>
        </w:numPr>
        <w:jc w:val="both"/>
        <w:rPr>
          <w:rFonts w:hint="eastAsia"/>
          <w:lang w:val="en-US" w:eastAsia="zh-CN"/>
        </w:rPr>
      </w:pPr>
      <w:r>
        <w:rPr>
          <w:rFonts w:hint="eastAsia"/>
          <w:lang w:val="en-US" w:eastAsia="zh-CN"/>
        </w:rPr>
        <w:t>互换协议的主要特点：</w:t>
      </w:r>
    </w:p>
    <w:p>
      <w:pPr>
        <w:widowControl w:val="0"/>
        <w:numPr>
          <w:ilvl w:val="0"/>
          <w:numId w:val="25"/>
        </w:numPr>
        <w:ind w:left="420" w:leftChars="0" w:hanging="420" w:firstLineChars="0"/>
        <w:jc w:val="both"/>
        <w:rPr>
          <w:rFonts w:hint="eastAsia"/>
          <w:lang w:val="en-US" w:eastAsia="zh-CN"/>
        </w:rPr>
      </w:pPr>
      <w:r>
        <w:rPr>
          <w:rFonts w:hint="eastAsia"/>
          <w:lang w:val="en-US" w:eastAsia="zh-CN"/>
        </w:rPr>
        <w:t>利率互换（即使是货币互换）</w:t>
      </w:r>
    </w:p>
    <w:p>
      <w:pPr>
        <w:widowControl w:val="0"/>
        <w:numPr>
          <w:ilvl w:val="0"/>
          <w:numId w:val="25"/>
        </w:numPr>
        <w:ind w:left="420" w:leftChars="0" w:hanging="420" w:firstLineChars="0"/>
        <w:jc w:val="both"/>
        <w:rPr>
          <w:rFonts w:hint="eastAsia"/>
          <w:lang w:val="en-US" w:eastAsia="zh-CN"/>
        </w:rPr>
      </w:pPr>
      <w:r>
        <w:rPr>
          <w:rFonts w:hint="eastAsia"/>
          <w:lang w:val="en-US" w:eastAsia="zh-CN"/>
        </w:rPr>
        <w:t>存续期长于期货/远期，5-10年，甚至更长</w:t>
      </w:r>
    </w:p>
    <w:p>
      <w:pPr>
        <w:widowControl w:val="0"/>
        <w:numPr>
          <w:ilvl w:val="0"/>
          <w:numId w:val="25"/>
        </w:numPr>
        <w:ind w:left="420" w:leftChars="0" w:hanging="420" w:firstLineChars="0"/>
        <w:jc w:val="both"/>
        <w:rPr>
          <w:rFonts w:hint="eastAsia"/>
          <w:lang w:val="en-US" w:eastAsia="zh-CN"/>
        </w:rPr>
      </w:pPr>
      <w:r>
        <w:rPr>
          <w:rFonts w:hint="eastAsia"/>
          <w:lang w:val="en-US" w:eastAsia="zh-CN"/>
        </w:rPr>
        <w:t>监督力度小</w:t>
      </w:r>
    </w:p>
    <w:p>
      <w:pPr>
        <w:widowControl w:val="0"/>
        <w:numPr>
          <w:ilvl w:val="0"/>
          <w:numId w:val="25"/>
        </w:numPr>
        <w:ind w:left="420" w:leftChars="0" w:hanging="420" w:firstLineChars="0"/>
        <w:jc w:val="both"/>
        <w:rPr>
          <w:rFonts w:hint="default"/>
          <w:sz w:val="20"/>
          <w:szCs w:val="22"/>
          <w:lang w:val="en-US" w:eastAsia="zh-CN"/>
        </w:rPr>
      </w:pPr>
      <w:r>
        <w:rPr>
          <w:rFonts w:hint="eastAsia"/>
          <w:lang w:val="en-US" w:eastAsia="zh-CN"/>
        </w:rPr>
        <w:t>非标准性</w:t>
      </w:r>
      <w:r>
        <w:rPr>
          <w:rFonts w:hint="eastAsia"/>
          <w:sz w:val="20"/>
          <w:szCs w:val="22"/>
          <w:lang w:val="en-US" w:eastAsia="zh-CN"/>
        </w:rPr>
        <w:t>（互换回购、互换出让、互换反转等方式终止，现金流与原来互换协议方向相反）</w:t>
      </w:r>
    </w:p>
    <w:p>
      <w:pPr>
        <w:widowControl w:val="0"/>
        <w:numPr>
          <w:ilvl w:val="0"/>
          <w:numId w:val="0"/>
        </w:numPr>
        <w:jc w:val="both"/>
        <w:rPr>
          <w:rFonts w:hint="eastAsia"/>
          <w:lang w:val="en-US" w:eastAsia="zh-CN"/>
        </w:rPr>
      </w:pPr>
      <w:r>
        <w:rPr>
          <w:rFonts w:hint="eastAsia"/>
          <w:lang w:val="en-US" w:eastAsia="zh-CN"/>
        </w:rPr>
        <w:t>互换受到欢迎的原因，优势：</w:t>
      </w:r>
    </w:p>
    <w:p>
      <w:pPr>
        <w:widowControl w:val="0"/>
        <w:numPr>
          <w:ilvl w:val="0"/>
          <w:numId w:val="26"/>
        </w:numPr>
        <w:ind w:left="425" w:leftChars="0" w:hanging="425" w:firstLineChars="0"/>
        <w:jc w:val="both"/>
        <w:rPr>
          <w:rFonts w:hint="default"/>
          <w:lang w:val="en-US" w:eastAsia="zh-CN"/>
        </w:rPr>
      </w:pPr>
      <w:r>
        <w:rPr>
          <w:rFonts w:hint="eastAsia"/>
          <w:lang w:val="en-US" w:eastAsia="zh-CN"/>
        </w:rPr>
        <w:t>交易双方可以利用各自的筹资优势，达到降低双方筹资成本的目的</w:t>
      </w:r>
    </w:p>
    <w:p>
      <w:pPr>
        <w:widowControl w:val="0"/>
        <w:numPr>
          <w:ilvl w:val="0"/>
          <w:numId w:val="26"/>
        </w:numPr>
        <w:ind w:left="425" w:leftChars="0" w:hanging="425" w:firstLineChars="0"/>
        <w:jc w:val="both"/>
        <w:rPr>
          <w:rFonts w:hint="default"/>
          <w:lang w:val="en-US" w:eastAsia="zh-CN"/>
        </w:rPr>
      </w:pPr>
      <w:r>
        <w:rPr>
          <w:rFonts w:hint="eastAsia"/>
          <w:lang w:val="en-US" w:eastAsia="zh-CN"/>
        </w:rPr>
        <w:t>容易筹措到任何期限、币种、利率的资金；体现一种抵消权利的特点</w:t>
      </w:r>
    </w:p>
    <w:p>
      <w:pPr>
        <w:widowControl w:val="0"/>
        <w:numPr>
          <w:ilvl w:val="0"/>
          <w:numId w:val="26"/>
        </w:numPr>
        <w:ind w:left="425" w:leftChars="0" w:hanging="425" w:firstLineChars="0"/>
        <w:jc w:val="both"/>
        <w:rPr>
          <w:rFonts w:hint="default"/>
          <w:lang w:val="en-US" w:eastAsia="zh-CN"/>
        </w:rPr>
      </w:pPr>
      <w:r>
        <w:rPr>
          <w:rFonts w:hint="default"/>
          <w:lang w:val="en-US" w:eastAsia="zh-CN"/>
        </w:rPr>
        <w:t>存续期长，在更长时间跨度里满足企业套期保值的要求，规避风险的有效时间更长</w:t>
      </w:r>
    </w:p>
    <w:p>
      <w:pPr>
        <w:widowControl w:val="0"/>
        <w:numPr>
          <w:ilvl w:val="0"/>
          <w:numId w:val="26"/>
        </w:numPr>
        <w:ind w:left="425" w:leftChars="0" w:hanging="425" w:firstLineChars="0"/>
        <w:jc w:val="both"/>
        <w:rPr>
          <w:rFonts w:hint="default"/>
          <w:lang w:val="en-US" w:eastAsia="zh-CN"/>
        </w:rPr>
      </w:pPr>
      <w:r>
        <w:rPr>
          <w:rFonts w:hint="default"/>
          <w:lang w:val="en-US" w:eastAsia="zh-CN"/>
        </w:rPr>
        <w:t>非标准化，可以签订期限和付款时间进度非常明确的协议</w:t>
      </w:r>
      <w:r>
        <w:rPr>
          <w:rFonts w:hint="eastAsia"/>
          <w:lang w:val="en-US" w:eastAsia="zh-CN"/>
        </w:rPr>
        <w:t>，可作为表外项目不要求披露</w:t>
      </w:r>
    </w:p>
    <w:p>
      <w:pPr>
        <w:widowControl w:val="0"/>
        <w:numPr>
          <w:ilvl w:val="0"/>
          <w:numId w:val="0"/>
        </w:numPr>
        <w:jc w:val="both"/>
        <w:rPr>
          <w:rFonts w:hint="eastAsia"/>
          <w:lang w:val="en-US" w:eastAsia="zh-CN"/>
        </w:rPr>
      </w:pPr>
      <w:r>
        <w:rPr>
          <w:rFonts w:hint="eastAsia"/>
          <w:lang w:val="en-US" w:eastAsia="zh-CN"/>
        </w:rPr>
        <w:t>缺陷：</w:t>
      </w:r>
    </w:p>
    <w:p>
      <w:pPr>
        <w:widowControl w:val="0"/>
        <w:numPr>
          <w:ilvl w:val="0"/>
          <w:numId w:val="27"/>
        </w:numPr>
        <w:ind w:left="420" w:leftChars="0" w:hanging="420" w:firstLineChars="0"/>
        <w:jc w:val="both"/>
        <w:rPr>
          <w:rFonts w:hint="default"/>
          <w:lang w:val="en-US" w:eastAsia="zh-CN"/>
        </w:rPr>
      </w:pPr>
      <w:r>
        <w:rPr>
          <w:rFonts w:hint="eastAsia"/>
          <w:lang w:val="en-US" w:eastAsia="zh-CN"/>
        </w:rPr>
        <w:t>确定交易对手的时间和成本大</w:t>
      </w:r>
    </w:p>
    <w:p>
      <w:pPr>
        <w:widowControl w:val="0"/>
        <w:numPr>
          <w:ilvl w:val="0"/>
          <w:numId w:val="27"/>
        </w:numPr>
        <w:ind w:left="420" w:leftChars="0" w:hanging="420" w:firstLineChars="0"/>
        <w:jc w:val="both"/>
        <w:rPr>
          <w:rFonts w:hint="default"/>
          <w:lang w:val="en-US" w:eastAsia="zh-CN"/>
        </w:rPr>
      </w:pPr>
      <w:r>
        <w:rPr>
          <w:rFonts w:hint="eastAsia"/>
          <w:lang w:val="en-US" w:eastAsia="zh-CN"/>
        </w:rPr>
        <w:t>完全独立的两笔交易具有隐蔽性和违约风险</w:t>
      </w:r>
    </w:p>
    <w:p>
      <w:pPr>
        <w:widowControl w:val="0"/>
        <w:numPr>
          <w:ilvl w:val="0"/>
          <w:numId w:val="27"/>
        </w:numPr>
        <w:ind w:left="420" w:leftChars="0" w:hanging="420" w:firstLineChars="0"/>
        <w:jc w:val="both"/>
        <w:rPr>
          <w:rFonts w:hint="default"/>
          <w:lang w:val="en-US" w:eastAsia="zh-CN"/>
        </w:rPr>
      </w:pPr>
      <w:r>
        <w:rPr>
          <w:rFonts w:hint="eastAsia"/>
          <w:lang w:val="en-US" w:eastAsia="zh-CN"/>
        </w:rPr>
        <w:t>贷款最终会出现在会计账目上对信用等级、融资能力产生影响</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b/>
          <w:bCs/>
          <w:sz w:val="22"/>
          <w:szCs w:val="28"/>
          <w:lang w:val="en-US" w:eastAsia="zh-CN"/>
        </w:rPr>
        <w:t>远期利率协定</w:t>
      </w:r>
      <w:r>
        <w:rPr>
          <w:rFonts w:hint="default" w:ascii="Times New Roman Regular" w:hAnsi="Times New Roman Regular" w:cs="Times New Roman Regular"/>
          <w:b w:val="0"/>
          <w:bCs/>
          <w:sz w:val="22"/>
          <w:szCs w:val="28"/>
          <w:lang w:val="en-US" w:eastAsia="zh-CN"/>
        </w:rPr>
        <w:t>FRAs</w:t>
      </w:r>
      <w:r>
        <w:rPr>
          <w:rFonts w:hint="eastAsia"/>
          <w:lang w:val="en-US" w:eastAsia="zh-CN"/>
        </w:rPr>
        <w:t>：一种远期合约，双方商定将来一定时间的协定利率，并规定以何种利率为参照进行清算（净额支付）</w:t>
      </w:r>
    </w:p>
    <w:p>
      <w:pPr>
        <w:widowControl w:val="0"/>
        <w:numPr>
          <w:ilvl w:val="0"/>
          <w:numId w:val="0"/>
        </w:numPr>
        <w:jc w:val="both"/>
        <w:rPr>
          <w:rFonts w:hint="eastAsia"/>
          <w:lang w:val="en-US" w:eastAsia="zh-CN"/>
        </w:rPr>
      </w:pPr>
      <w:r>
        <w:rPr>
          <w:rFonts w:hint="eastAsia"/>
          <w:b/>
          <w:bCs/>
          <w:lang w:val="en-US" w:eastAsia="zh-CN"/>
        </w:rPr>
        <w:t>作用</w:t>
      </w:r>
      <w:r>
        <w:rPr>
          <w:rFonts w:hint="eastAsia"/>
          <w:lang w:val="en-US" w:eastAsia="zh-CN"/>
        </w:rPr>
        <w:t>：将未来的利率锁定，根据需要的期限和利率种类签订合同，与标准化期货合同不同</w:t>
      </w:r>
    </w:p>
    <w:p>
      <w:pPr>
        <w:widowControl w:val="0"/>
        <w:numPr>
          <w:ilvl w:val="0"/>
          <w:numId w:val="0"/>
        </w:numPr>
        <w:jc w:val="both"/>
        <w:rPr>
          <w:rFonts w:hint="default"/>
          <w:lang w:val="en-US" w:eastAsia="zh-CN"/>
        </w:rPr>
      </w:pPr>
    </w:p>
    <w:p>
      <w:pPr>
        <w:widowControl w:val="0"/>
        <w:numPr>
          <w:ilvl w:val="0"/>
          <w:numId w:val="0"/>
        </w:numPr>
        <w:jc w:val="both"/>
        <w:rPr>
          <w:rFonts w:hint="default"/>
          <w:b/>
          <w:bCs/>
          <w:i/>
          <w:iCs/>
          <w:sz w:val="22"/>
          <w:szCs w:val="28"/>
          <w:lang w:val="en-US" w:eastAsia="zh-CN"/>
        </w:rPr>
      </w:pPr>
    </w:p>
    <w:p>
      <w:pPr>
        <w:widowControl w:val="0"/>
        <w:numPr>
          <w:ilvl w:val="0"/>
          <w:numId w:val="0"/>
        </w:numPr>
        <w:jc w:val="both"/>
        <w:rPr>
          <w:rFonts w:hint="default"/>
          <w:lang w:val="en-US" w:eastAsia="zh-CN"/>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iti SC Medium">
    <w:panose1 w:val="00000000000000000000"/>
    <w:charset w:val="86"/>
    <w:family w:val="auto"/>
    <w:pitch w:val="default"/>
    <w:sig w:usb0="8000002F" w:usb1="0800004A" w:usb2="00000000" w:usb3="00000000" w:csb0="203E0000" w:csb1="00000000"/>
  </w:font>
  <w:font w:name="MicrosoftYaHei">
    <w:altName w:val="苹方-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华文中宋">
    <w:altName w:val="汉仪书宋二KW"/>
    <w:panose1 w:val="00000000000000000000"/>
    <w:charset w:val="00"/>
    <w:family w:val="auto"/>
    <w:pitch w:val="default"/>
    <w:sig w:usb0="00000000" w:usb1="00000000" w:usb2="00000000" w:usb3="00000000" w:csb0="00000000" w:csb1="00000000"/>
  </w:font>
  <w:font w:name="Wingdings-Regular">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OGA044yAgAAYQQAAA4AAAAAAAAAAQAgAAAA&#10;NQEAAGRycy9lMm9Eb2MueG1sUEsFBgAAAAAGAAYAWQEAANkFA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rPr>
        <w:rFonts w:hint="eastAsia"/>
        <w:lang w:val="en-US" w:eastAsia="zh-CN"/>
      </w:rPr>
    </w:pPr>
    <w:r>
      <w:rPr>
        <w:rFonts w:hint="eastAsia"/>
        <w:lang w:val="en-US" w:eastAsia="zh-CN"/>
      </w:rPr>
      <w:t>整理者：许嘉琪</w:t>
    </w:r>
  </w:p>
  <w:p>
    <w:pPr>
      <w:pStyle w:val="6"/>
      <w:pBdr>
        <w:bottom w:val="double" w:color="auto" w:sz="8" w:space="1"/>
      </w:pBdr>
      <w:rPr>
        <w:rFonts w:hint="default"/>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7B3A3"/>
    <w:multiLevelType w:val="singleLevel"/>
    <w:tmpl w:val="87F7B3A3"/>
    <w:lvl w:ilvl="0" w:tentative="0">
      <w:start w:val="1"/>
      <w:numFmt w:val="bullet"/>
      <w:lvlText w:val=""/>
      <w:lvlJc w:val="left"/>
      <w:pPr>
        <w:ind w:left="420" w:hanging="420"/>
      </w:pPr>
      <w:rPr>
        <w:rFonts w:hint="default" w:ascii="Wingdings" w:hAnsi="Wingdings"/>
      </w:rPr>
    </w:lvl>
  </w:abstractNum>
  <w:abstractNum w:abstractNumId="1">
    <w:nsid w:val="8F4AAD9A"/>
    <w:multiLevelType w:val="singleLevel"/>
    <w:tmpl w:val="8F4AAD9A"/>
    <w:lvl w:ilvl="0" w:tentative="0">
      <w:start w:val="1"/>
      <w:numFmt w:val="chineseCounting"/>
      <w:suff w:val="space"/>
      <w:lvlText w:val="第%1章"/>
      <w:lvlJc w:val="left"/>
      <w:rPr>
        <w:rFonts w:hint="eastAsia"/>
      </w:rPr>
    </w:lvl>
  </w:abstractNum>
  <w:abstractNum w:abstractNumId="2">
    <w:nsid w:val="9EFFA108"/>
    <w:multiLevelType w:val="singleLevel"/>
    <w:tmpl w:val="9EFFA108"/>
    <w:lvl w:ilvl="0" w:tentative="0">
      <w:start w:val="1"/>
      <w:numFmt w:val="decimal"/>
      <w:suff w:val="nothing"/>
      <w:lvlText w:val="（%1）"/>
      <w:lvlJc w:val="left"/>
    </w:lvl>
  </w:abstractNum>
  <w:abstractNum w:abstractNumId="3">
    <w:nsid w:val="BD3B921D"/>
    <w:multiLevelType w:val="singleLevel"/>
    <w:tmpl w:val="BD3B921D"/>
    <w:lvl w:ilvl="0" w:tentative="0">
      <w:start w:val="1"/>
      <w:numFmt w:val="bullet"/>
      <w:lvlText w:val=""/>
      <w:lvlJc w:val="left"/>
      <w:pPr>
        <w:ind w:left="420" w:hanging="420"/>
      </w:pPr>
      <w:rPr>
        <w:rFonts w:hint="default" w:ascii="Wingdings" w:hAnsi="Wingdings"/>
      </w:rPr>
    </w:lvl>
  </w:abstractNum>
  <w:abstractNum w:abstractNumId="4">
    <w:nsid w:val="BE5F223E"/>
    <w:multiLevelType w:val="singleLevel"/>
    <w:tmpl w:val="BE5F223E"/>
    <w:lvl w:ilvl="0" w:tentative="0">
      <w:start w:val="1"/>
      <w:numFmt w:val="chineseCounting"/>
      <w:suff w:val="space"/>
      <w:lvlText w:val="第%1章"/>
      <w:lvlJc w:val="left"/>
      <w:rPr>
        <w:rFonts w:hint="eastAsia"/>
        <w:b/>
        <w:bCs/>
        <w:i/>
        <w:iCs/>
      </w:rPr>
    </w:lvl>
  </w:abstractNum>
  <w:abstractNum w:abstractNumId="5">
    <w:nsid w:val="BF5B812B"/>
    <w:multiLevelType w:val="singleLevel"/>
    <w:tmpl w:val="BF5B812B"/>
    <w:lvl w:ilvl="0" w:tentative="0">
      <w:start w:val="1"/>
      <w:numFmt w:val="decimalEnclosedCircleChinese"/>
      <w:suff w:val="nothing"/>
      <w:lvlText w:val="%1　"/>
      <w:lvlJc w:val="left"/>
      <w:pPr>
        <w:ind w:left="630" w:firstLine="400"/>
      </w:pPr>
      <w:rPr>
        <w:rFonts w:hint="eastAsia"/>
      </w:rPr>
    </w:lvl>
  </w:abstractNum>
  <w:abstractNum w:abstractNumId="6">
    <w:nsid w:val="BFAFD39D"/>
    <w:multiLevelType w:val="singleLevel"/>
    <w:tmpl w:val="BFAFD39D"/>
    <w:lvl w:ilvl="0" w:tentative="0">
      <w:start w:val="1"/>
      <w:numFmt w:val="decimal"/>
      <w:lvlText w:val="%1."/>
      <w:lvlJc w:val="left"/>
      <w:pPr>
        <w:ind w:left="425" w:hanging="425"/>
      </w:pPr>
      <w:rPr>
        <w:rFonts w:hint="default"/>
      </w:rPr>
    </w:lvl>
  </w:abstractNum>
  <w:abstractNum w:abstractNumId="7">
    <w:nsid w:val="BFE70ED2"/>
    <w:multiLevelType w:val="singleLevel"/>
    <w:tmpl w:val="BFE70ED2"/>
    <w:lvl w:ilvl="0" w:tentative="0">
      <w:start w:val="1"/>
      <w:numFmt w:val="decimalEnclosedCircleChinese"/>
      <w:suff w:val="nothing"/>
      <w:lvlText w:val="%1　"/>
      <w:lvlJc w:val="left"/>
      <w:pPr>
        <w:ind w:left="0" w:firstLine="400"/>
      </w:pPr>
      <w:rPr>
        <w:rFonts w:hint="eastAsia"/>
      </w:rPr>
    </w:lvl>
  </w:abstractNum>
  <w:abstractNum w:abstractNumId="8">
    <w:nsid w:val="C66DB0CD"/>
    <w:multiLevelType w:val="singleLevel"/>
    <w:tmpl w:val="C66DB0CD"/>
    <w:lvl w:ilvl="0" w:tentative="0">
      <w:start w:val="1"/>
      <w:numFmt w:val="bullet"/>
      <w:lvlText w:val=""/>
      <w:lvlJc w:val="left"/>
      <w:pPr>
        <w:ind w:left="1470" w:hanging="420"/>
      </w:pPr>
      <w:rPr>
        <w:rFonts w:hint="default" w:ascii="Wingdings" w:hAnsi="Wingdings"/>
      </w:rPr>
    </w:lvl>
  </w:abstractNum>
  <w:abstractNum w:abstractNumId="9">
    <w:nsid w:val="C7F7887E"/>
    <w:multiLevelType w:val="singleLevel"/>
    <w:tmpl w:val="C7F7887E"/>
    <w:lvl w:ilvl="0" w:tentative="0">
      <w:start w:val="1"/>
      <w:numFmt w:val="decimalEnclosedCircleChinese"/>
      <w:suff w:val="nothing"/>
      <w:lvlText w:val="%1　"/>
      <w:lvlJc w:val="left"/>
      <w:pPr>
        <w:ind w:left="-420" w:firstLine="400"/>
      </w:pPr>
      <w:rPr>
        <w:rFonts w:hint="eastAsia"/>
      </w:rPr>
    </w:lvl>
  </w:abstractNum>
  <w:abstractNum w:abstractNumId="10">
    <w:nsid w:val="DFE14054"/>
    <w:multiLevelType w:val="singleLevel"/>
    <w:tmpl w:val="DFE14054"/>
    <w:lvl w:ilvl="0" w:tentative="0">
      <w:start w:val="1"/>
      <w:numFmt w:val="bullet"/>
      <w:lvlText w:val=""/>
      <w:lvlJc w:val="left"/>
      <w:pPr>
        <w:ind w:left="420" w:hanging="420"/>
      </w:pPr>
      <w:rPr>
        <w:rFonts w:hint="default" w:ascii="Wingdings" w:hAnsi="Wingdings"/>
      </w:rPr>
    </w:lvl>
  </w:abstractNum>
  <w:abstractNum w:abstractNumId="11">
    <w:nsid w:val="E8AEFA8B"/>
    <w:multiLevelType w:val="singleLevel"/>
    <w:tmpl w:val="E8AEFA8B"/>
    <w:lvl w:ilvl="0" w:tentative="0">
      <w:start w:val="1"/>
      <w:numFmt w:val="decimal"/>
      <w:suff w:val="nothing"/>
      <w:lvlText w:val="（%1）"/>
      <w:lvlJc w:val="left"/>
    </w:lvl>
  </w:abstractNum>
  <w:abstractNum w:abstractNumId="12">
    <w:nsid w:val="EBCE5AB6"/>
    <w:multiLevelType w:val="singleLevel"/>
    <w:tmpl w:val="EBCE5AB6"/>
    <w:lvl w:ilvl="0" w:tentative="0">
      <w:start w:val="1"/>
      <w:numFmt w:val="decimalEnclosedCircleChinese"/>
      <w:suff w:val="nothing"/>
      <w:lvlText w:val="%1　"/>
      <w:lvlJc w:val="left"/>
      <w:pPr>
        <w:ind w:left="-210" w:firstLine="400"/>
      </w:pPr>
      <w:rPr>
        <w:rFonts w:hint="eastAsia"/>
      </w:rPr>
    </w:lvl>
  </w:abstractNum>
  <w:abstractNum w:abstractNumId="13">
    <w:nsid w:val="F39E6486"/>
    <w:multiLevelType w:val="singleLevel"/>
    <w:tmpl w:val="F39E6486"/>
    <w:lvl w:ilvl="0" w:tentative="0">
      <w:start w:val="1"/>
      <w:numFmt w:val="decimal"/>
      <w:lvlText w:val="%1."/>
      <w:lvlJc w:val="left"/>
      <w:pPr>
        <w:ind w:left="425" w:hanging="425"/>
      </w:pPr>
      <w:rPr>
        <w:rFonts w:hint="default"/>
      </w:rPr>
    </w:lvl>
  </w:abstractNum>
  <w:abstractNum w:abstractNumId="14">
    <w:nsid w:val="F6F85BB3"/>
    <w:multiLevelType w:val="singleLevel"/>
    <w:tmpl w:val="F6F85BB3"/>
    <w:lvl w:ilvl="0" w:tentative="0">
      <w:start w:val="1"/>
      <w:numFmt w:val="bullet"/>
      <w:lvlText w:val=""/>
      <w:lvlJc w:val="left"/>
      <w:pPr>
        <w:ind w:left="420" w:hanging="420"/>
      </w:pPr>
      <w:rPr>
        <w:rFonts w:hint="default" w:ascii="Wingdings" w:hAnsi="Wingdings"/>
      </w:rPr>
    </w:lvl>
  </w:abstractNum>
  <w:abstractNum w:abstractNumId="15">
    <w:nsid w:val="F7BF7FC2"/>
    <w:multiLevelType w:val="singleLevel"/>
    <w:tmpl w:val="F7BF7FC2"/>
    <w:lvl w:ilvl="0" w:tentative="0">
      <w:start w:val="1"/>
      <w:numFmt w:val="bullet"/>
      <w:lvlText w:val=""/>
      <w:lvlJc w:val="left"/>
      <w:pPr>
        <w:ind w:left="420" w:hanging="420"/>
      </w:pPr>
      <w:rPr>
        <w:rFonts w:hint="default" w:ascii="Wingdings" w:hAnsi="Wingdings"/>
      </w:rPr>
    </w:lvl>
  </w:abstractNum>
  <w:abstractNum w:abstractNumId="16">
    <w:nsid w:val="F7F8AB84"/>
    <w:multiLevelType w:val="singleLevel"/>
    <w:tmpl w:val="F7F8AB84"/>
    <w:lvl w:ilvl="0" w:tentative="0">
      <w:start w:val="1"/>
      <w:numFmt w:val="decimalEnclosedCircleChinese"/>
      <w:suff w:val="nothing"/>
      <w:lvlText w:val="%1　"/>
      <w:lvlJc w:val="left"/>
      <w:pPr>
        <w:ind w:left="-210" w:firstLine="400"/>
      </w:pPr>
      <w:rPr>
        <w:rFonts w:hint="eastAsia"/>
      </w:rPr>
    </w:lvl>
  </w:abstractNum>
  <w:abstractNum w:abstractNumId="17">
    <w:nsid w:val="F81B9BAD"/>
    <w:multiLevelType w:val="singleLevel"/>
    <w:tmpl w:val="F81B9BAD"/>
    <w:lvl w:ilvl="0" w:tentative="0">
      <w:start w:val="1"/>
      <w:numFmt w:val="bullet"/>
      <w:lvlText w:val=""/>
      <w:lvlJc w:val="left"/>
      <w:pPr>
        <w:ind w:left="420" w:hanging="420"/>
      </w:pPr>
      <w:rPr>
        <w:rFonts w:hint="default" w:ascii="Wingdings" w:hAnsi="Wingdings"/>
      </w:rPr>
    </w:lvl>
  </w:abstractNum>
  <w:abstractNum w:abstractNumId="18">
    <w:nsid w:val="FBFEE0A1"/>
    <w:multiLevelType w:val="singleLevel"/>
    <w:tmpl w:val="FBFEE0A1"/>
    <w:lvl w:ilvl="0" w:tentative="0">
      <w:start w:val="1"/>
      <w:numFmt w:val="decimal"/>
      <w:lvlText w:val="%1."/>
      <w:lvlJc w:val="left"/>
      <w:pPr>
        <w:tabs>
          <w:tab w:val="left" w:pos="312"/>
        </w:tabs>
      </w:pPr>
    </w:lvl>
  </w:abstractNum>
  <w:abstractNum w:abstractNumId="19">
    <w:nsid w:val="FDFEA8EC"/>
    <w:multiLevelType w:val="singleLevel"/>
    <w:tmpl w:val="FDFEA8EC"/>
    <w:lvl w:ilvl="0" w:tentative="0">
      <w:start w:val="1"/>
      <w:numFmt w:val="bullet"/>
      <w:lvlText w:val=""/>
      <w:lvlJc w:val="left"/>
      <w:pPr>
        <w:ind w:left="420" w:hanging="420"/>
      </w:pPr>
      <w:rPr>
        <w:rFonts w:hint="default" w:ascii="Wingdings" w:hAnsi="Wingdings"/>
      </w:rPr>
    </w:lvl>
  </w:abstractNum>
  <w:abstractNum w:abstractNumId="20">
    <w:nsid w:val="FFD256E6"/>
    <w:multiLevelType w:val="singleLevel"/>
    <w:tmpl w:val="FFD256E6"/>
    <w:lvl w:ilvl="0" w:tentative="0">
      <w:start w:val="1"/>
      <w:numFmt w:val="decimal"/>
      <w:lvlText w:val="(%1)"/>
      <w:lvlJc w:val="left"/>
      <w:pPr>
        <w:ind w:left="425" w:hanging="425"/>
      </w:pPr>
      <w:rPr>
        <w:rFonts w:hint="default"/>
      </w:rPr>
    </w:lvl>
  </w:abstractNum>
  <w:abstractNum w:abstractNumId="21">
    <w:nsid w:val="2EFEF646"/>
    <w:multiLevelType w:val="singleLevel"/>
    <w:tmpl w:val="2EFEF646"/>
    <w:lvl w:ilvl="0" w:tentative="0">
      <w:start w:val="1"/>
      <w:numFmt w:val="bullet"/>
      <w:lvlText w:val=""/>
      <w:lvlJc w:val="left"/>
      <w:pPr>
        <w:ind w:left="-1680" w:hanging="420"/>
      </w:pPr>
      <w:rPr>
        <w:rFonts w:hint="default" w:ascii="Wingdings" w:hAnsi="Wingdings"/>
      </w:rPr>
    </w:lvl>
  </w:abstractNum>
  <w:abstractNum w:abstractNumId="22">
    <w:nsid w:val="2FAFAFB6"/>
    <w:multiLevelType w:val="singleLevel"/>
    <w:tmpl w:val="2FAFAFB6"/>
    <w:lvl w:ilvl="0" w:tentative="0">
      <w:start w:val="1"/>
      <w:numFmt w:val="lowerLetter"/>
      <w:lvlText w:val="%1."/>
      <w:lvlJc w:val="left"/>
      <w:pPr>
        <w:ind w:left="1685" w:hanging="425"/>
      </w:pPr>
      <w:rPr>
        <w:rFonts w:hint="default"/>
      </w:rPr>
    </w:lvl>
  </w:abstractNum>
  <w:abstractNum w:abstractNumId="23">
    <w:nsid w:val="57DDEC56"/>
    <w:multiLevelType w:val="singleLevel"/>
    <w:tmpl w:val="57DDEC56"/>
    <w:lvl w:ilvl="0" w:tentative="0">
      <w:start w:val="1"/>
      <w:numFmt w:val="bullet"/>
      <w:lvlText w:val=""/>
      <w:lvlJc w:val="left"/>
      <w:pPr>
        <w:ind w:left="420" w:hanging="420"/>
      </w:pPr>
      <w:rPr>
        <w:rFonts w:hint="default" w:ascii="Wingdings" w:hAnsi="Wingdings"/>
      </w:rPr>
    </w:lvl>
  </w:abstractNum>
  <w:abstractNum w:abstractNumId="24">
    <w:nsid w:val="5D608145"/>
    <w:multiLevelType w:val="singleLevel"/>
    <w:tmpl w:val="5D608145"/>
    <w:lvl w:ilvl="0" w:tentative="0">
      <w:start w:val="1"/>
      <w:numFmt w:val="bullet"/>
      <w:lvlText w:val=""/>
      <w:lvlJc w:val="left"/>
      <w:pPr>
        <w:ind w:left="2520" w:hanging="420"/>
      </w:pPr>
      <w:rPr>
        <w:rFonts w:hint="default" w:ascii="Wingdings" w:hAnsi="Wingdings"/>
      </w:rPr>
    </w:lvl>
  </w:abstractNum>
  <w:abstractNum w:abstractNumId="25">
    <w:nsid w:val="7AFF46C2"/>
    <w:multiLevelType w:val="singleLevel"/>
    <w:tmpl w:val="7AFF46C2"/>
    <w:lvl w:ilvl="0" w:tentative="0">
      <w:start w:val="1"/>
      <w:numFmt w:val="decimal"/>
      <w:suff w:val="nothing"/>
      <w:lvlText w:val="（%1）"/>
      <w:lvlJc w:val="left"/>
    </w:lvl>
  </w:abstractNum>
  <w:abstractNum w:abstractNumId="26">
    <w:nsid w:val="7EFC34B5"/>
    <w:multiLevelType w:val="singleLevel"/>
    <w:tmpl w:val="7EFC34B5"/>
    <w:lvl w:ilvl="0" w:tentative="0">
      <w:start w:val="1"/>
      <w:numFmt w:val="decimalEnclosedCircleChinese"/>
      <w:suff w:val="nothing"/>
      <w:lvlText w:val="%1　"/>
      <w:lvlJc w:val="left"/>
      <w:pPr>
        <w:ind w:left="0" w:firstLine="400"/>
      </w:pPr>
      <w:rPr>
        <w:rFonts w:hint="eastAsia"/>
      </w:rPr>
    </w:lvl>
  </w:abstractNum>
  <w:num w:numId="1">
    <w:abstractNumId w:val="4"/>
  </w:num>
  <w:num w:numId="2">
    <w:abstractNumId w:val="17"/>
  </w:num>
  <w:num w:numId="3">
    <w:abstractNumId w:val="1"/>
  </w:num>
  <w:num w:numId="4">
    <w:abstractNumId w:val="10"/>
  </w:num>
  <w:num w:numId="5">
    <w:abstractNumId w:val="6"/>
  </w:num>
  <w:num w:numId="6">
    <w:abstractNumId w:val="23"/>
  </w:num>
  <w:num w:numId="7">
    <w:abstractNumId w:val="20"/>
  </w:num>
  <w:num w:numId="8">
    <w:abstractNumId w:val="16"/>
  </w:num>
  <w:num w:numId="9">
    <w:abstractNumId w:val="12"/>
  </w:num>
  <w:num w:numId="10">
    <w:abstractNumId w:val="19"/>
  </w:num>
  <w:num w:numId="11">
    <w:abstractNumId w:val="13"/>
  </w:num>
  <w:num w:numId="12">
    <w:abstractNumId w:val="9"/>
  </w:num>
  <w:num w:numId="13">
    <w:abstractNumId w:val="5"/>
  </w:num>
  <w:num w:numId="14">
    <w:abstractNumId w:val="25"/>
  </w:num>
  <w:num w:numId="15">
    <w:abstractNumId w:val="7"/>
  </w:num>
  <w:num w:numId="16">
    <w:abstractNumId w:val="11"/>
  </w:num>
  <w:num w:numId="17">
    <w:abstractNumId w:val="8"/>
  </w:num>
  <w:num w:numId="18">
    <w:abstractNumId w:val="18"/>
  </w:num>
  <w:num w:numId="19">
    <w:abstractNumId w:val="14"/>
  </w:num>
  <w:num w:numId="20">
    <w:abstractNumId w:val="22"/>
  </w:num>
  <w:num w:numId="21">
    <w:abstractNumId w:val="2"/>
  </w:num>
  <w:num w:numId="22">
    <w:abstractNumId w:val="24"/>
  </w:num>
  <w:num w:numId="23">
    <w:abstractNumId w:val="21"/>
  </w:num>
  <w:num w:numId="24">
    <w:abstractNumId w:val="3"/>
  </w:num>
  <w:num w:numId="25">
    <w:abstractNumId w:val="15"/>
  </w:num>
  <w:num w:numId="26">
    <w:abstractNumId w:val="26"/>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FAD61C"/>
    <w:rsid w:val="07FEF12A"/>
    <w:rsid w:val="0FFF3718"/>
    <w:rsid w:val="17B5B2B7"/>
    <w:rsid w:val="17BB157A"/>
    <w:rsid w:val="1AEF2121"/>
    <w:rsid w:val="1AFD5835"/>
    <w:rsid w:val="1BFE365D"/>
    <w:rsid w:val="1BFF4A07"/>
    <w:rsid w:val="1CF7F9A6"/>
    <w:rsid w:val="1E8B34FA"/>
    <w:rsid w:val="1FBF8D7D"/>
    <w:rsid w:val="1FCBC8A2"/>
    <w:rsid w:val="1FFE669A"/>
    <w:rsid w:val="26AD8E7E"/>
    <w:rsid w:val="28FB1400"/>
    <w:rsid w:val="2BFF39BB"/>
    <w:rsid w:val="2D332934"/>
    <w:rsid w:val="2E7E6D56"/>
    <w:rsid w:val="2EB68756"/>
    <w:rsid w:val="2ED5DF87"/>
    <w:rsid w:val="2FE3290D"/>
    <w:rsid w:val="2FFD29F3"/>
    <w:rsid w:val="2FFD82A9"/>
    <w:rsid w:val="32FF9F19"/>
    <w:rsid w:val="35E5FB72"/>
    <w:rsid w:val="37F74FD4"/>
    <w:rsid w:val="37FF7CA1"/>
    <w:rsid w:val="3857B5C7"/>
    <w:rsid w:val="3ACED072"/>
    <w:rsid w:val="3BBD6A90"/>
    <w:rsid w:val="3BDF7AC9"/>
    <w:rsid w:val="3CFD3F88"/>
    <w:rsid w:val="3CFE0B9C"/>
    <w:rsid w:val="3CFF2028"/>
    <w:rsid w:val="3DAE6E30"/>
    <w:rsid w:val="3E7F5961"/>
    <w:rsid w:val="3F79DB5A"/>
    <w:rsid w:val="3F8F2081"/>
    <w:rsid w:val="3F9FAEFF"/>
    <w:rsid w:val="3FF76E9D"/>
    <w:rsid w:val="47569B74"/>
    <w:rsid w:val="47FD4BF3"/>
    <w:rsid w:val="4AB77D35"/>
    <w:rsid w:val="4DEF92DD"/>
    <w:rsid w:val="4FA6F244"/>
    <w:rsid w:val="524979E3"/>
    <w:rsid w:val="55B64ECC"/>
    <w:rsid w:val="5634B233"/>
    <w:rsid w:val="575F8189"/>
    <w:rsid w:val="576FEA02"/>
    <w:rsid w:val="57DFD3C4"/>
    <w:rsid w:val="57ED678B"/>
    <w:rsid w:val="5BFF3979"/>
    <w:rsid w:val="5CF7ED93"/>
    <w:rsid w:val="5D7A61D6"/>
    <w:rsid w:val="5E7B451C"/>
    <w:rsid w:val="5EC63100"/>
    <w:rsid w:val="5EF52187"/>
    <w:rsid w:val="5EFA74C9"/>
    <w:rsid w:val="5F2E439A"/>
    <w:rsid w:val="5F7FC059"/>
    <w:rsid w:val="5F7FE2CA"/>
    <w:rsid w:val="5FAF3C7D"/>
    <w:rsid w:val="5FBB7E93"/>
    <w:rsid w:val="5FFD42D6"/>
    <w:rsid w:val="5FFF9245"/>
    <w:rsid w:val="647AE353"/>
    <w:rsid w:val="65F3A9CD"/>
    <w:rsid w:val="67FC0288"/>
    <w:rsid w:val="69577D6B"/>
    <w:rsid w:val="695BB4BF"/>
    <w:rsid w:val="699FFA5A"/>
    <w:rsid w:val="6B317F73"/>
    <w:rsid w:val="6D3212E0"/>
    <w:rsid w:val="6DFC236B"/>
    <w:rsid w:val="6DFEEB42"/>
    <w:rsid w:val="6E273EC2"/>
    <w:rsid w:val="6EFB233C"/>
    <w:rsid w:val="6FB7C8BD"/>
    <w:rsid w:val="6FC3B1F1"/>
    <w:rsid w:val="6FDC7EE6"/>
    <w:rsid w:val="6FDE1114"/>
    <w:rsid w:val="6FEEDACE"/>
    <w:rsid w:val="715D39A0"/>
    <w:rsid w:val="727D142E"/>
    <w:rsid w:val="72A78C94"/>
    <w:rsid w:val="72FFAAC9"/>
    <w:rsid w:val="737F5521"/>
    <w:rsid w:val="73BB5534"/>
    <w:rsid w:val="75F3D0AC"/>
    <w:rsid w:val="767F0FD5"/>
    <w:rsid w:val="76BF3F91"/>
    <w:rsid w:val="76F7EAFE"/>
    <w:rsid w:val="776F1ECC"/>
    <w:rsid w:val="777D2474"/>
    <w:rsid w:val="77BDB08E"/>
    <w:rsid w:val="77FB774C"/>
    <w:rsid w:val="77FD64F9"/>
    <w:rsid w:val="77FD8806"/>
    <w:rsid w:val="77FFDD98"/>
    <w:rsid w:val="78DDF896"/>
    <w:rsid w:val="7A9154E4"/>
    <w:rsid w:val="7A9E54C4"/>
    <w:rsid w:val="7AFEEDE5"/>
    <w:rsid w:val="7B65F1ED"/>
    <w:rsid w:val="7B7FDBD0"/>
    <w:rsid w:val="7BD614F7"/>
    <w:rsid w:val="7BF3DC63"/>
    <w:rsid w:val="7BFE8F3A"/>
    <w:rsid w:val="7C3DA00C"/>
    <w:rsid w:val="7D4CCE3E"/>
    <w:rsid w:val="7D5B0E90"/>
    <w:rsid w:val="7D77B2A9"/>
    <w:rsid w:val="7D9D45B1"/>
    <w:rsid w:val="7DBFE2D6"/>
    <w:rsid w:val="7DD71DB4"/>
    <w:rsid w:val="7DEFAECA"/>
    <w:rsid w:val="7DF7546B"/>
    <w:rsid w:val="7E77703A"/>
    <w:rsid w:val="7EBF9FD8"/>
    <w:rsid w:val="7EE3F31A"/>
    <w:rsid w:val="7EF3FD4B"/>
    <w:rsid w:val="7F2FFE58"/>
    <w:rsid w:val="7F3BB8A4"/>
    <w:rsid w:val="7F5B4DBC"/>
    <w:rsid w:val="7F777998"/>
    <w:rsid w:val="7F7DC67A"/>
    <w:rsid w:val="7F7E5817"/>
    <w:rsid w:val="7F8F22B7"/>
    <w:rsid w:val="7F969580"/>
    <w:rsid w:val="7FBF2BF7"/>
    <w:rsid w:val="7FCF5627"/>
    <w:rsid w:val="7FD708D2"/>
    <w:rsid w:val="7FDF2BAB"/>
    <w:rsid w:val="7FDF8B25"/>
    <w:rsid w:val="7FDFE21D"/>
    <w:rsid w:val="7FF98B5C"/>
    <w:rsid w:val="7FFB1264"/>
    <w:rsid w:val="7FFDAF99"/>
    <w:rsid w:val="7FFE43AE"/>
    <w:rsid w:val="7FFF4F9B"/>
    <w:rsid w:val="7FFF567E"/>
    <w:rsid w:val="7FFF829D"/>
    <w:rsid w:val="7FFFDCC8"/>
    <w:rsid w:val="7FFFDD98"/>
    <w:rsid w:val="807F39CC"/>
    <w:rsid w:val="8FEF7EA5"/>
    <w:rsid w:val="95DD7DA0"/>
    <w:rsid w:val="9DF674CA"/>
    <w:rsid w:val="9F7FB825"/>
    <w:rsid w:val="9FFE2408"/>
    <w:rsid w:val="A3DF6A05"/>
    <w:rsid w:val="AE77CE05"/>
    <w:rsid w:val="AFD740DD"/>
    <w:rsid w:val="B6ADB9CE"/>
    <w:rsid w:val="B7BD3DFD"/>
    <w:rsid w:val="B7F790E4"/>
    <w:rsid w:val="B93EC911"/>
    <w:rsid w:val="BA79F18A"/>
    <w:rsid w:val="BCEEFB1F"/>
    <w:rsid w:val="BD6F9FCA"/>
    <w:rsid w:val="BE7F1BF2"/>
    <w:rsid w:val="BEFF6B1B"/>
    <w:rsid w:val="BF340631"/>
    <w:rsid w:val="BF9F8BE2"/>
    <w:rsid w:val="BFADE663"/>
    <w:rsid w:val="BFD3D327"/>
    <w:rsid w:val="BFDD5CDC"/>
    <w:rsid w:val="BFEB5113"/>
    <w:rsid w:val="BFED7929"/>
    <w:rsid w:val="BFF7D896"/>
    <w:rsid w:val="BFFF67EF"/>
    <w:rsid w:val="C2C51A2E"/>
    <w:rsid w:val="C61453E3"/>
    <w:rsid w:val="CD787F59"/>
    <w:rsid w:val="CFA1EE50"/>
    <w:rsid w:val="CFF61BD7"/>
    <w:rsid w:val="CFFF9BA2"/>
    <w:rsid w:val="D3ED184E"/>
    <w:rsid w:val="D3F756A9"/>
    <w:rsid w:val="D56FAD23"/>
    <w:rsid w:val="DAAD8C8E"/>
    <w:rsid w:val="DAE5793A"/>
    <w:rsid w:val="DB3EA497"/>
    <w:rsid w:val="DB5B78B5"/>
    <w:rsid w:val="DB7B61AC"/>
    <w:rsid w:val="DC63A3F2"/>
    <w:rsid w:val="DD7E8500"/>
    <w:rsid w:val="DDF02DBC"/>
    <w:rsid w:val="DEBDB4DC"/>
    <w:rsid w:val="DEEF6B3D"/>
    <w:rsid w:val="DEFAD42F"/>
    <w:rsid w:val="DF5E98A5"/>
    <w:rsid w:val="DF8C3EFB"/>
    <w:rsid w:val="DFE788F2"/>
    <w:rsid w:val="DFE7F144"/>
    <w:rsid w:val="E1BDE700"/>
    <w:rsid w:val="E3732B80"/>
    <w:rsid w:val="E63C80CA"/>
    <w:rsid w:val="E6F34956"/>
    <w:rsid w:val="E8BE5C6F"/>
    <w:rsid w:val="E943A5CE"/>
    <w:rsid w:val="EAEA9D14"/>
    <w:rsid w:val="EAEF9C65"/>
    <w:rsid w:val="EAF64E07"/>
    <w:rsid w:val="EAFEEE67"/>
    <w:rsid w:val="EBFD2CE3"/>
    <w:rsid w:val="ECD7DED2"/>
    <w:rsid w:val="ED5DDB88"/>
    <w:rsid w:val="EEB7EC9B"/>
    <w:rsid w:val="EF3FA542"/>
    <w:rsid w:val="EF3FC787"/>
    <w:rsid w:val="EF6B8DA2"/>
    <w:rsid w:val="EF709CBA"/>
    <w:rsid w:val="EF91DBD1"/>
    <w:rsid w:val="EF9D5349"/>
    <w:rsid w:val="EFBB1BEB"/>
    <w:rsid w:val="EFBF9C69"/>
    <w:rsid w:val="EFC5B6D6"/>
    <w:rsid w:val="EFD10D8E"/>
    <w:rsid w:val="EFE6B58B"/>
    <w:rsid w:val="EFFB5F65"/>
    <w:rsid w:val="EFFD6E83"/>
    <w:rsid w:val="F2391A40"/>
    <w:rsid w:val="F35DCB9E"/>
    <w:rsid w:val="F46AD5ED"/>
    <w:rsid w:val="F4715C9E"/>
    <w:rsid w:val="F4F746AF"/>
    <w:rsid w:val="F569AA04"/>
    <w:rsid w:val="F6BF621B"/>
    <w:rsid w:val="F6FFCBFF"/>
    <w:rsid w:val="F73F2114"/>
    <w:rsid w:val="F7AF5562"/>
    <w:rsid w:val="F7DFB45E"/>
    <w:rsid w:val="F7F7E423"/>
    <w:rsid w:val="F7FA5413"/>
    <w:rsid w:val="F8FF7B73"/>
    <w:rsid w:val="F99B276F"/>
    <w:rsid w:val="FAE33761"/>
    <w:rsid w:val="FAFA6995"/>
    <w:rsid w:val="FAFDE361"/>
    <w:rsid w:val="FB3AE837"/>
    <w:rsid w:val="FB7FD29F"/>
    <w:rsid w:val="FBB7AC5A"/>
    <w:rsid w:val="FBCF18DB"/>
    <w:rsid w:val="FBDC6234"/>
    <w:rsid w:val="FBFBCE09"/>
    <w:rsid w:val="FD3F01FA"/>
    <w:rsid w:val="FDAFD995"/>
    <w:rsid w:val="FDBA5F22"/>
    <w:rsid w:val="FDDE92D5"/>
    <w:rsid w:val="FDDF75DC"/>
    <w:rsid w:val="FDF0AF87"/>
    <w:rsid w:val="FDF1618D"/>
    <w:rsid w:val="FDFD642D"/>
    <w:rsid w:val="FDFF2A11"/>
    <w:rsid w:val="FE8E58AC"/>
    <w:rsid w:val="FEEFE75D"/>
    <w:rsid w:val="FEFAD61C"/>
    <w:rsid w:val="FEFC22AA"/>
    <w:rsid w:val="FF173EC4"/>
    <w:rsid w:val="FF26C5B1"/>
    <w:rsid w:val="FF7C8D96"/>
    <w:rsid w:val="FF7DC91C"/>
    <w:rsid w:val="FF7E016D"/>
    <w:rsid w:val="FF7FC2A8"/>
    <w:rsid w:val="FF8BF76C"/>
    <w:rsid w:val="FFB6B874"/>
    <w:rsid w:val="FFDE83F2"/>
    <w:rsid w:val="FFE93C3D"/>
    <w:rsid w:val="FFED0C4E"/>
    <w:rsid w:val="FFEFDC34"/>
    <w:rsid w:val="FFF60579"/>
    <w:rsid w:val="FFF7E493"/>
    <w:rsid w:val="FFF922E4"/>
    <w:rsid w:val="FFFD1204"/>
    <w:rsid w:val="FFFF0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Heiti SC Medium" w:asciiTheme="minorAscii" w:hAnsiTheme="minorAscii"/>
      <w:b/>
      <w:kern w:val="44"/>
      <w:sz w:val="30"/>
      <w:szCs w:val="2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Arial" w:hAnsi="Arial" w:eastAsia="Heiti SC Medium"/>
      <w:b/>
      <w:sz w:val="28"/>
      <w:szCs w:val="2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ind w:leftChars="200"/>
      <w:jc w:val="left"/>
      <w:outlineLvl w:val="2"/>
    </w:pPr>
    <w:rPr>
      <w:rFonts w:eastAsia="Heiti SC Medium" w:asciiTheme="minorAscii" w:hAnsiTheme="minorAscii"/>
      <w:b/>
      <w:sz w:val="24"/>
      <w:szCs w:val="2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header" Target="header1.xml"/><Relationship Id="rId29" Type="http://schemas.microsoft.com/office/2007/relationships/diagramDrawing" Target="diagrams/drawing1.xml"/><Relationship Id="rId28" Type="http://schemas.openxmlformats.org/officeDocument/2006/relationships/diagramColors" Target="diagrams/colors1.xml"/><Relationship Id="rId27" Type="http://schemas.openxmlformats.org/officeDocument/2006/relationships/diagramQuickStyle" Target="diagrams/quickStyle1.xml"/><Relationship Id="rId26" Type="http://schemas.openxmlformats.org/officeDocument/2006/relationships/diagramLayout" Target="diagrams/layout1.xml"/><Relationship Id="rId25" Type="http://schemas.openxmlformats.org/officeDocument/2006/relationships/diagramData" Target="diagrams/data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EFE73B03-4D71-4565-8C52-4902BE6377A4}" type="doc">
      <dgm:prSet loTypeId="hierarchy" loCatId="hierarchy" qsTypeId="urn:microsoft.com/office/officeart/2005/8/quickstyle/simple1" qsCatId="simple" csTypeId="urn:microsoft.com/office/officeart/2005/8/colors/accent0_2" csCatId="accent1" phldr="0"/>
      <dgm:spPr/>
      <dgm:t>
        <a:bodyPr/>
        <a:p>
          <a:endParaRPr lang="zh-CN" altLang="en-US"/>
        </a:p>
      </dgm:t>
    </dgm:pt>
    <dgm:pt modelId="{0605F139-5EF0-48E7-A091-192233D2011D}">
      <dgm:prSet phldrT="[文本]" phldr="0" custT="0"/>
      <dgm:spPr/>
      <dgm:t>
        <a:bodyPr vert="horz" wrap="square"/>
        <a:p>
          <a:pPr>
            <a:lnSpc>
              <a:spcPct val="100000"/>
            </a:lnSpc>
            <a:spcBef>
              <a:spcPct val="0"/>
            </a:spcBef>
            <a:spcAft>
              <a:spcPct val="35000"/>
            </a:spcAft>
          </a:pPr>
          <a:r>
            <a:rPr lang="zh-CN" altLang="en-US"/>
            <a:t>分类</a:t>
          </a:r>
          <a:r>
            <a:rPr lang="zh-CN" altLang="en-US"/>
            <a:t/>
          </a:r>
          <a:endParaRPr lang="zh-CN" altLang="en-US"/>
        </a:p>
      </dgm:t>
    </dgm:pt>
    <dgm:pt modelId="{2AFB1B2A-8749-4E5E-9CB9-0B60F81C46F8}" cxnId="{73A50A54-2DE4-4B2C-BB79-69338DD48BD4}" type="parTrans">
      <dgm:prSet/>
      <dgm:spPr/>
      <dgm:t>
        <a:bodyPr/>
        <a:p>
          <a:endParaRPr lang="zh-CN" altLang="en-US"/>
        </a:p>
      </dgm:t>
    </dgm:pt>
    <dgm:pt modelId="{E0FFEB56-236E-4FE9-83BF-31494E265D5A}" cxnId="{73A50A54-2DE4-4B2C-BB79-69338DD48BD4}" type="sibTrans">
      <dgm:prSet/>
      <dgm:spPr/>
      <dgm:t>
        <a:bodyPr/>
        <a:p>
          <a:endParaRPr lang="zh-CN" altLang="en-US"/>
        </a:p>
      </dgm:t>
    </dgm:pt>
    <dgm:pt modelId="{4530EE7D-F557-4815-9ED2-EABC47F46978}">
      <dgm:prSet phldrT="[文本]" phldr="0" custT="0"/>
      <dgm:spPr/>
      <dgm:t>
        <a:bodyPr vert="horz" wrap="square"/>
        <a:p>
          <a:pPr>
            <a:lnSpc>
              <a:spcPct val="100000"/>
            </a:lnSpc>
            <a:spcBef>
              <a:spcPct val="0"/>
            </a:spcBef>
            <a:spcAft>
              <a:spcPct val="35000"/>
            </a:spcAft>
          </a:pPr>
          <a:r>
            <a:rPr lang="zh-CN" altLang="en-US"/>
            <a:t>储备资产</a:t>
          </a:r>
          <a:r>
            <a:rPr lang="zh-CN" altLang="en-US"/>
            <a:t>的</a:t>
          </a:r>
          <a:r>
            <a:rPr lang="zh-CN" altLang="en-US"/>
            <a:t>保有</a:t>
          </a:r>
          <a:r>
            <a:rPr lang="zh-CN" altLang="en-US"/>
            <a:t>形式</a:t>
          </a:r>
          <a:r>
            <a:rPr lang="zh-CN" altLang="en-US"/>
            <a:t/>
          </a:r>
          <a:endParaRPr lang="zh-CN" altLang="en-US"/>
        </a:p>
      </dgm:t>
    </dgm:pt>
    <dgm:pt modelId="{AC2BFF99-DAE2-494A-88AB-85D75BC6D2EE}" cxnId="{852EBE1C-6496-4810-8339-C249CB4F3FD7}" type="parTrans">
      <dgm:prSet/>
      <dgm:spPr/>
      <dgm:t>
        <a:bodyPr/>
        <a:p>
          <a:endParaRPr lang="zh-CN" altLang="en-US"/>
        </a:p>
      </dgm:t>
    </dgm:pt>
    <dgm:pt modelId="{B98A0394-6758-42EB-8D0E-4491BED52B6C}" cxnId="{852EBE1C-6496-4810-8339-C249CB4F3FD7}" type="sibTrans">
      <dgm:prSet/>
      <dgm:spPr/>
      <dgm:t>
        <a:bodyPr/>
        <a:p>
          <a:endParaRPr lang="zh-CN" altLang="en-US"/>
        </a:p>
      </dgm:t>
    </dgm:pt>
    <dgm:pt modelId="{2C2A4BF3-AA22-4080-9546-909CF9AC3ECB}">
      <dgm:prSet phldrT="[文本]" phldr="0" custT="0"/>
      <dgm:spPr/>
      <dgm:t>
        <a:bodyPr vert="horz" wrap="square"/>
        <a:p>
          <a:pPr>
            <a:lnSpc>
              <a:spcPct val="100000"/>
            </a:lnSpc>
            <a:spcBef>
              <a:spcPct val="0"/>
            </a:spcBef>
            <a:spcAft>
              <a:spcPct val="35000"/>
            </a:spcAft>
          </a:pPr>
          <a:r>
            <a:rPr lang="zh-CN" altLang="en-US"/>
            <a:t>金本位制度</a:t>
          </a:r>
          <a:r>
            <a:rPr lang="zh-CN" altLang="en-US"/>
            <a:t/>
          </a:r>
          <a:endParaRPr lang="zh-CN" altLang="en-US"/>
        </a:p>
      </dgm:t>
    </dgm:pt>
    <dgm:pt modelId="{4A6A0524-D9B7-4A37-8E78-5FE688BDCCE6}" cxnId="{D335E357-F584-427A-8C54-C3CAC5BD42F6}" type="parTrans">
      <dgm:prSet/>
      <dgm:spPr/>
      <dgm:t>
        <a:bodyPr/>
        <a:p>
          <a:endParaRPr lang="zh-CN" altLang="en-US"/>
        </a:p>
      </dgm:t>
    </dgm:pt>
    <dgm:pt modelId="{39CECE7E-7D7C-4022-9437-1E0813814145}" cxnId="{D335E357-F584-427A-8C54-C3CAC5BD42F6}" type="sibTrans">
      <dgm:prSet/>
      <dgm:spPr/>
      <dgm:t>
        <a:bodyPr/>
        <a:p>
          <a:endParaRPr lang="zh-CN" altLang="en-US"/>
        </a:p>
      </dgm:t>
    </dgm:pt>
    <dgm:pt modelId="{C78C4F92-AD69-46C8-910C-41059E8ED0A9}">
      <dgm:prSet phldrT="[文本]" phldr="0" custT="0"/>
      <dgm:spPr/>
      <dgm:t>
        <a:bodyPr vert="horz" wrap="square"/>
        <a:p>
          <a:pPr>
            <a:lnSpc>
              <a:spcPct val="100000"/>
            </a:lnSpc>
            <a:spcBef>
              <a:spcPct val="0"/>
            </a:spcBef>
            <a:spcAft>
              <a:spcPct val="35000"/>
            </a:spcAft>
          </a:pPr>
          <a:r>
            <a:rPr lang="zh-CN" altLang="en-US"/>
            <a:t>金汇兑</a:t>
          </a:r>
          <a:r>
            <a:rPr lang="zh-CN" altLang="en-US"/>
            <a:t>本位</a:t>
          </a:r>
          <a:r>
            <a:rPr lang="zh-CN" altLang="en-US"/>
            <a:t>制度</a:t>
          </a:r>
          <a:r>
            <a:rPr lang="zh-CN" altLang="en-US"/>
            <a:t/>
          </a:r>
          <a:endParaRPr lang="zh-CN" altLang="en-US"/>
        </a:p>
      </dgm:t>
    </dgm:pt>
    <dgm:pt modelId="{581124B7-0397-40F7-9B1D-41220103BA68}" cxnId="{A55EFB50-ABCB-49DD-B117-A1F3E9C6F7C4}" type="parTrans">
      <dgm:prSet/>
      <dgm:spPr/>
      <dgm:t>
        <a:bodyPr/>
        <a:p>
          <a:endParaRPr lang="zh-CN" altLang="en-US"/>
        </a:p>
      </dgm:t>
    </dgm:pt>
    <dgm:pt modelId="{A23C44A9-E7A6-467B-BF93-DD0656347715}" cxnId="{A55EFB50-ABCB-49DD-B117-A1F3E9C6F7C4}" type="sibTrans">
      <dgm:prSet/>
      <dgm:spPr/>
      <dgm:t>
        <a:bodyPr/>
        <a:p>
          <a:endParaRPr lang="zh-CN" altLang="en-US"/>
        </a:p>
      </dgm:t>
    </dgm:pt>
    <dgm:pt modelId="{6235023E-61F9-4171-8F18-C8100AEC80D1}">
      <dgm:prSet phldr="0" custT="0"/>
      <dgm:spPr/>
      <dgm:t>
        <a:bodyPr vert="horz" wrap="square"/>
        <a:p>
          <a:pPr>
            <a:lnSpc>
              <a:spcPct val="100000"/>
            </a:lnSpc>
            <a:spcBef>
              <a:spcPct val="0"/>
            </a:spcBef>
            <a:spcAft>
              <a:spcPct val="35000"/>
            </a:spcAft>
          </a:pPr>
          <a:r>
            <a:rPr lang="zh-CN"/>
            <a:t>信用</a:t>
          </a:r>
          <a:r>
            <a:rPr lang="zh-CN"/>
            <a:t>货币</a:t>
          </a:r>
          <a:r>
            <a:rPr lang="zh-CN"/>
            <a:t>本位</a:t>
          </a:r>
          <a:r>
            <a:rPr lang="zh-CN"/>
            <a:t>制度</a:t>
          </a:r>
          <a:r>
            <a:rPr altLang="en-US"/>
            <a:t/>
          </a:r>
          <a:endParaRPr altLang="en-US"/>
        </a:p>
      </dgm:t>
    </dgm:pt>
    <dgm:pt modelId="{BFF305F9-FC71-4463-8FF6-2854B7FE0F3B}" cxnId="{D189C1D5-A34F-4F6C-9258-49083596848C}" type="parTrans">
      <dgm:prSet/>
      <dgm:spPr/>
    </dgm:pt>
    <dgm:pt modelId="{CC746A0F-6F84-4C5E-ABDC-05BD50284BF5}" cxnId="{D189C1D5-A34F-4F6C-9258-49083596848C}" type="sibTrans">
      <dgm:prSet/>
      <dgm:spPr/>
    </dgm:pt>
    <dgm:pt modelId="{4E4A1E17-A3EC-4A54-9171-277E11A0B287}">
      <dgm:prSet phldrT="[文本]" phldr="0" custT="0"/>
      <dgm:spPr/>
      <dgm:t>
        <a:bodyPr vert="horz" wrap="square"/>
        <a:p>
          <a:pPr>
            <a:lnSpc>
              <a:spcPct val="100000"/>
            </a:lnSpc>
            <a:spcBef>
              <a:spcPct val="0"/>
            </a:spcBef>
            <a:spcAft>
              <a:spcPct val="35000"/>
            </a:spcAft>
          </a:pPr>
          <a:r>
            <a:rPr lang="zh-CN" altLang="en-US"/>
            <a:t>汇率</a:t>
          </a:r>
          <a:r>
            <a:rPr lang="zh-CN" altLang="en-US"/>
            <a:t>制度</a:t>
          </a:r>
          <a:r>
            <a:rPr lang="zh-CN" altLang="en-US"/>
            <a:t/>
          </a:r>
          <a:endParaRPr lang="zh-CN" altLang="en-US"/>
        </a:p>
      </dgm:t>
    </dgm:pt>
    <dgm:pt modelId="{367D7799-1E5C-4947-8AD1-85D1E0D367AF}" cxnId="{28762AED-52A4-4BC9-9B2C-E32161D89D7B}" type="parTrans">
      <dgm:prSet/>
      <dgm:spPr/>
      <dgm:t>
        <a:bodyPr/>
        <a:p>
          <a:endParaRPr lang="zh-CN" altLang="en-US"/>
        </a:p>
      </dgm:t>
    </dgm:pt>
    <dgm:pt modelId="{7FFEBD18-7D5B-41C0-A8F3-60942A71708D}" cxnId="{28762AED-52A4-4BC9-9B2C-E32161D89D7B}" type="sibTrans">
      <dgm:prSet/>
      <dgm:spPr/>
      <dgm:t>
        <a:bodyPr/>
        <a:p>
          <a:endParaRPr lang="zh-CN" altLang="en-US"/>
        </a:p>
      </dgm:t>
    </dgm:pt>
    <dgm:pt modelId="{2B9D6902-DCB2-4AC4-BFAC-AF964742FD39}">
      <dgm:prSet phldrT="[文本]" phldr="0" custT="0"/>
      <dgm:spPr/>
      <dgm:t>
        <a:bodyPr vert="horz" wrap="square"/>
        <a:p>
          <a:pPr>
            <a:lnSpc>
              <a:spcPct val="100000"/>
            </a:lnSpc>
            <a:spcBef>
              <a:spcPct val="0"/>
            </a:spcBef>
            <a:spcAft>
              <a:spcPct val="35000"/>
            </a:spcAft>
          </a:pPr>
          <a:r>
            <a:rPr lang="zh-CN" altLang="en-US"/>
            <a:t>固定汇率制度</a:t>
          </a:r>
          <a:r>
            <a:rPr lang="zh-CN" altLang="en-US"/>
            <a:t/>
          </a:r>
          <a:endParaRPr lang="zh-CN" altLang="en-US"/>
        </a:p>
      </dgm:t>
    </dgm:pt>
    <dgm:pt modelId="{9EAB334F-AA91-4141-B6FE-557B19FCD964}" cxnId="{487BAA16-C610-4BB1-9CB0-34D761B9D83C}" type="parTrans">
      <dgm:prSet/>
      <dgm:spPr/>
      <dgm:t>
        <a:bodyPr/>
        <a:p>
          <a:endParaRPr lang="zh-CN" altLang="en-US"/>
        </a:p>
      </dgm:t>
    </dgm:pt>
    <dgm:pt modelId="{EB4A7ACA-5833-4A98-973D-A8E863091431}" cxnId="{487BAA16-C610-4BB1-9CB0-34D761B9D83C}" type="sibTrans">
      <dgm:prSet/>
      <dgm:spPr/>
      <dgm:t>
        <a:bodyPr/>
        <a:p>
          <a:endParaRPr lang="zh-CN" altLang="en-US"/>
        </a:p>
      </dgm:t>
    </dgm:pt>
    <dgm:pt modelId="{DA4DA252-DFFE-4FD9-845F-B619C68D59F2}">
      <dgm:prSet phldr="0" custT="0"/>
      <dgm:spPr/>
      <dgm:t>
        <a:bodyPr vert="horz" wrap="square"/>
        <a:p>
          <a:pPr>
            <a:lnSpc>
              <a:spcPct val="100000"/>
            </a:lnSpc>
            <a:spcBef>
              <a:spcPct val="0"/>
            </a:spcBef>
            <a:spcAft>
              <a:spcPct val="35000"/>
            </a:spcAft>
          </a:pPr>
          <a:r>
            <a:rPr lang="zh-CN"/>
            <a:t>浮动</a:t>
          </a:r>
          <a:r>
            <a:rPr lang="zh-CN"/>
            <a:t>汇率</a:t>
          </a:r>
          <a:r>
            <a:rPr lang="zh-CN"/>
            <a:t>制度</a:t>
          </a:r>
          <a:r>
            <a:rPr altLang="en-US"/>
            <a:t/>
          </a:r>
          <a:endParaRPr altLang="en-US"/>
        </a:p>
      </dgm:t>
    </dgm:pt>
    <dgm:pt modelId="{F820B1CB-F785-4707-B41D-BBF50D7BC418}" cxnId="{16E4D43D-2C5A-4BB8-9BC3-10ABA19F3B7E}" type="parTrans">
      <dgm:prSet/>
      <dgm:spPr/>
    </dgm:pt>
    <dgm:pt modelId="{DFC588A3-9A42-4BCC-850D-5F653C4207CA}" cxnId="{16E4D43D-2C5A-4BB8-9BC3-10ABA19F3B7E}" type="sibTrans">
      <dgm:prSet/>
      <dgm:spPr/>
    </dgm:pt>
    <dgm:pt modelId="{50001047-22C8-460D-8BBB-DCA4F15CC126}">
      <dgm:prSet phldr="0" custT="0"/>
      <dgm:spPr/>
      <dgm:t>
        <a:bodyPr vert="horz" wrap="square"/>
        <a:p>
          <a:pPr>
            <a:lnSpc>
              <a:spcPct val="100000"/>
            </a:lnSpc>
            <a:spcBef>
              <a:spcPct val="0"/>
            </a:spcBef>
            <a:spcAft>
              <a:spcPct val="35000"/>
            </a:spcAft>
          </a:pPr>
          <a:r>
            <a:rPr lang="zh-CN"/>
            <a:t>储备</a:t>
          </a:r>
          <a:r>
            <a:rPr lang="en-US" altLang="zh-CN"/>
            <a:t>+</a:t>
          </a:r>
          <a:r>
            <a:rPr lang="zh-CN" altLang="en-US"/>
            <a:t>汇率</a:t>
          </a:r>
          <a:r>
            <a:rPr lang="en-US" altLang="zh-CN"/>
            <a:t/>
          </a:r>
          <a:endParaRPr lang="en-US" altLang="zh-CN"/>
        </a:p>
      </dgm:t>
    </dgm:pt>
    <dgm:pt modelId="{22A4616A-3740-4EF8-A556-6AF933BD5208}" cxnId="{28C36725-18AA-426A-843F-0331A217CA64}" type="parTrans">
      <dgm:prSet/>
      <dgm:spPr/>
    </dgm:pt>
    <dgm:pt modelId="{5B98CBBA-B2B1-48E8-BBD5-1EC393852D79}" cxnId="{28C36725-18AA-426A-843F-0331A217CA64}" type="sibTrans">
      <dgm:prSet/>
      <dgm:spPr/>
    </dgm:pt>
    <dgm:pt modelId="{52835F21-38CA-4267-9BB1-39A5A61E2651}">
      <dgm:prSet phldr="0" custT="0"/>
      <dgm:spPr/>
      <dgm:t>
        <a:bodyPr vert="horz" wrap="square"/>
        <a:p>
          <a:pPr>
            <a:lnSpc>
              <a:spcPct val="100000"/>
            </a:lnSpc>
            <a:spcBef>
              <a:spcPct val="0"/>
            </a:spcBef>
            <a:spcAft>
              <a:spcPct val="35000"/>
            </a:spcAft>
          </a:pPr>
          <a:r>
            <a:rPr lang="zh-CN"/>
            <a:t>金本</a:t>
          </a:r>
          <a:r>
            <a:rPr lang="zh-CN"/>
            <a:t>位</a:t>
          </a:r>
          <a:r>
            <a:rPr lang="zh-CN"/>
            <a:t>币</a:t>
          </a:r>
          <a:r>
            <a:rPr lang="zh-CN"/>
            <a:t>制度</a:t>
          </a:r>
          <a:r>
            <a:rPr lang="zh-CN"/>
            <a:t>下</a:t>
          </a:r>
          <a:r>
            <a:rPr lang="zh-CN"/>
            <a:t>固定</a:t>
          </a:r>
          <a:r>
            <a:rPr lang="zh-CN"/>
            <a:t>汇率</a:t>
          </a:r>
          <a:r>
            <a:rPr lang="zh-CN"/>
            <a:t>制度</a:t>
          </a:r>
          <a:r>
            <a:rPr altLang="en-US"/>
            <a:t/>
          </a:r>
          <a:endParaRPr altLang="en-US"/>
        </a:p>
      </dgm:t>
    </dgm:pt>
    <dgm:pt modelId="{4C72BF22-329D-4AB6-BBE3-70D75634D264}" cxnId="{31221155-61B2-4806-921D-4449B377ADBF}" type="parTrans">
      <dgm:prSet/>
      <dgm:spPr/>
    </dgm:pt>
    <dgm:pt modelId="{2336DE99-2EAF-4970-8A32-5EC664820914}" cxnId="{31221155-61B2-4806-921D-4449B377ADBF}" type="sibTrans">
      <dgm:prSet/>
      <dgm:spPr/>
    </dgm:pt>
    <dgm:pt modelId="{77AC4EDE-A0BE-418C-B5C7-7B6C52AE3B98}">
      <dgm:prSet phldr="0" custT="0"/>
      <dgm:spPr/>
      <dgm:t>
        <a:bodyPr vert="horz" wrap="square"/>
        <a:p>
          <a:pPr>
            <a:lnSpc>
              <a:spcPct val="100000"/>
            </a:lnSpc>
            <a:spcBef>
              <a:spcPct val="0"/>
            </a:spcBef>
            <a:spcAft>
              <a:spcPct val="35000"/>
            </a:spcAft>
          </a:pPr>
          <a:r>
            <a:rPr lang="zh-CN"/>
            <a:t>价格</a:t>
          </a:r>
          <a:r>
            <a:rPr lang="zh-CN"/>
            <a:t>铸币</a:t>
          </a:r>
          <a:r>
            <a:rPr lang="zh-CN"/>
            <a:t>流动</a:t>
          </a:r>
          <a:r>
            <a:rPr lang="zh-CN"/>
            <a:t>机制</a:t>
          </a:r>
          <a:r>
            <a:rPr lang="en-US" altLang="zh-CN"/>
            <a:t/>
          </a:r>
          <a:endParaRPr lang="en-US" altLang="zh-CN"/>
        </a:p>
      </dgm:t>
    </dgm:pt>
    <dgm:pt modelId="{07D21172-0D7B-4904-8924-2BFE62686545}" cxnId="{454550CB-7DEB-4A37-82DC-FF27F2E9D083}" type="parTrans">
      <dgm:prSet/>
      <dgm:spPr/>
    </dgm:pt>
    <dgm:pt modelId="{9B288E0C-03DD-49F0-8F9B-6B06413A2F49}" cxnId="{454550CB-7DEB-4A37-82DC-FF27F2E9D083}" type="sibTrans">
      <dgm:prSet/>
      <dgm:spPr/>
    </dgm:pt>
    <dgm:pt modelId="{AA9F1E84-05DD-422D-8F7A-E136DDD3E406}">
      <dgm:prSet phldr="0" custT="0"/>
      <dgm:spPr/>
      <dgm:t>
        <a:bodyPr vert="horz" wrap="square"/>
        <a:p>
          <a:pPr>
            <a:lnSpc>
              <a:spcPct val="100000"/>
            </a:lnSpc>
            <a:spcBef>
              <a:spcPct val="0"/>
            </a:spcBef>
            <a:spcAft>
              <a:spcPct val="35000"/>
            </a:spcAft>
          </a:pPr>
          <a:r>
            <a:rPr lang="zh-CN"/>
            <a:t>不兑换</a:t>
          </a:r>
          <a:r>
            <a:rPr lang="zh-CN"/>
            <a:t>纸币</a:t>
          </a:r>
          <a:r>
            <a:rPr lang="zh-CN"/>
            <a:t>本位</a:t>
          </a:r>
          <a:r>
            <a:rPr lang="zh-CN"/>
            <a:t>制</a:t>
          </a:r>
          <a:r>
            <a:rPr lang="zh-CN"/>
            <a:t>下</a:t>
          </a:r>
          <a:r>
            <a:rPr lang="zh-CN"/>
            <a:t>固定</a:t>
          </a:r>
          <a:r>
            <a:rPr lang="zh-CN"/>
            <a:t>汇率</a:t>
          </a:r>
          <a:r>
            <a:rPr lang="zh-CN"/>
            <a:t>制度</a:t>
          </a:r>
          <a:r>
            <a:rPr altLang="en-US"/>
            <a:t/>
          </a:r>
          <a:endParaRPr altLang="en-US"/>
        </a:p>
      </dgm:t>
    </dgm:pt>
    <dgm:pt modelId="{405FF5B0-7738-4C43-8AB3-982CF7FE8A2C}" cxnId="{F8AFA0E9-3CF6-4DDA-AAF3-E813D97C5851}" type="parTrans">
      <dgm:prSet/>
      <dgm:spPr/>
    </dgm:pt>
    <dgm:pt modelId="{BC67C6FD-F8CA-42C3-9071-5A4A7FF4C618}" cxnId="{F8AFA0E9-3CF6-4DDA-AAF3-E813D97C5851}" type="sibTrans">
      <dgm:prSet/>
      <dgm:spPr/>
    </dgm:pt>
    <dgm:pt modelId="{5FBAB40F-6011-4629-9B30-77C9439C91BF}" type="pres">
      <dgm:prSet presAssocID="{EFE73B03-4D71-4565-8C52-4902BE6377A4}" presName="diagram" presStyleCnt="0">
        <dgm:presLayoutVars>
          <dgm:chPref val="1"/>
          <dgm:dir/>
          <dgm:animOne val="branch"/>
          <dgm:animLvl val="lvl"/>
          <dgm:resizeHandles val="exact"/>
        </dgm:presLayoutVars>
      </dgm:prSet>
      <dgm:spPr/>
    </dgm:pt>
    <dgm:pt modelId="{2332AA2E-A989-4175-BB73-78EA4C3BDB65}" type="pres">
      <dgm:prSet presAssocID="{0605F139-5EF0-48E7-A091-192233D2011D}" presName="root1" presStyleCnt="0"/>
      <dgm:spPr/>
    </dgm:pt>
    <dgm:pt modelId="{24E3F4AB-32FB-4CE0-9DAC-FC4DD26B5900}" type="pres">
      <dgm:prSet presAssocID="{0605F139-5EF0-48E7-A091-192233D2011D}" presName="LevelOneTextNode" presStyleLbl="node0" presStyleIdx="0" presStyleCnt="1">
        <dgm:presLayoutVars>
          <dgm:chPref val="3"/>
        </dgm:presLayoutVars>
      </dgm:prSet>
      <dgm:spPr/>
    </dgm:pt>
    <dgm:pt modelId="{44F25638-8073-4DA7-9390-5AC06A304565}" type="pres">
      <dgm:prSet presAssocID="{0605F139-5EF0-48E7-A091-192233D2011D}" presName="level2hierChild" presStyleCnt="0"/>
      <dgm:spPr/>
    </dgm:pt>
    <dgm:pt modelId="{B47BD6C9-6D53-4A69-975F-9CF96E25F10F}" type="pres">
      <dgm:prSet presAssocID="{AC2BFF99-DAE2-494A-88AB-85D75BC6D2EE}" presName="conn2-1" presStyleLbl="parChTrans1D2" presStyleIdx="0" presStyleCnt="3"/>
      <dgm:spPr/>
    </dgm:pt>
    <dgm:pt modelId="{C1833E64-0598-4ED8-B73B-4C820BB35531}" type="pres">
      <dgm:prSet presAssocID="{AC2BFF99-DAE2-494A-88AB-85D75BC6D2EE}" presName="connTx" presStyleCnt="0"/>
      <dgm:spPr/>
    </dgm:pt>
    <dgm:pt modelId="{46F58ACF-5130-428E-B3EF-87D6FEC0C921}" type="pres">
      <dgm:prSet presAssocID="{4530EE7D-F557-4815-9ED2-EABC47F46978}" presName="root2" presStyleCnt="0"/>
      <dgm:spPr/>
    </dgm:pt>
    <dgm:pt modelId="{3C0D5057-54F2-42F8-ADAD-AA27A1CC1A1B}" type="pres">
      <dgm:prSet presAssocID="{4530EE7D-F557-4815-9ED2-EABC47F46978}" presName="LevelTwoTextNode" presStyleLbl="node2" presStyleIdx="0" presStyleCnt="3">
        <dgm:presLayoutVars>
          <dgm:chPref val="3"/>
        </dgm:presLayoutVars>
      </dgm:prSet>
      <dgm:spPr/>
    </dgm:pt>
    <dgm:pt modelId="{48673F39-879C-4946-8DC7-FD68F0552920}" type="pres">
      <dgm:prSet presAssocID="{4530EE7D-F557-4815-9ED2-EABC47F46978}" presName="level3hierChild" presStyleCnt="0"/>
      <dgm:spPr/>
    </dgm:pt>
    <dgm:pt modelId="{FA61825B-C877-4D42-AAFB-0586288A9783}" type="pres">
      <dgm:prSet presAssocID="{4A6A0524-D9B7-4A37-8E78-5FE688BDCCE6}" presName="conn2-1" presStyleLbl="parChTrans1D3" presStyleIdx="0" presStyleCnt="7"/>
      <dgm:spPr/>
    </dgm:pt>
    <dgm:pt modelId="{66B35CF0-1806-4E4A-8B50-99A64DECDBA9}" type="pres">
      <dgm:prSet presAssocID="{4A6A0524-D9B7-4A37-8E78-5FE688BDCCE6}" presName="connTx" presStyleCnt="0"/>
      <dgm:spPr/>
    </dgm:pt>
    <dgm:pt modelId="{F95D7524-EA0E-4F9D-9D6F-B10856D5C83F}" type="pres">
      <dgm:prSet presAssocID="{2C2A4BF3-AA22-4080-9546-909CF9AC3ECB}" presName="root2" presStyleCnt="0"/>
      <dgm:spPr/>
    </dgm:pt>
    <dgm:pt modelId="{63712EDC-9AF8-41BC-8F72-ADF8D554FF07}" type="pres">
      <dgm:prSet presAssocID="{2C2A4BF3-AA22-4080-9546-909CF9AC3ECB}" presName="LevelTwoTextNode" presStyleLbl="node3" presStyleIdx="0" presStyleCnt="7">
        <dgm:presLayoutVars>
          <dgm:chPref val="3"/>
        </dgm:presLayoutVars>
      </dgm:prSet>
      <dgm:spPr/>
    </dgm:pt>
    <dgm:pt modelId="{E0C65410-D9BC-4E23-87DE-EBBC54AD2166}" type="pres">
      <dgm:prSet presAssocID="{2C2A4BF3-AA22-4080-9546-909CF9AC3ECB}" presName="level3hierChild" presStyleCnt="0"/>
      <dgm:spPr/>
    </dgm:pt>
    <dgm:pt modelId="{E81582B1-A130-479F-ACE3-61EF727591CE}" type="pres">
      <dgm:prSet presAssocID="{581124B7-0397-40F7-9B1D-41220103BA68}" presName="conn2-1" presStyleLbl="parChTrans1D3" presStyleIdx="1" presStyleCnt="7"/>
      <dgm:spPr/>
    </dgm:pt>
    <dgm:pt modelId="{C3EBFA62-33AA-4455-9D61-7B96DA4B37A4}" type="pres">
      <dgm:prSet presAssocID="{581124B7-0397-40F7-9B1D-41220103BA68}" presName="connTx" presStyleCnt="0"/>
      <dgm:spPr/>
    </dgm:pt>
    <dgm:pt modelId="{2DF34A52-3962-401F-8488-13EE54243675}" type="pres">
      <dgm:prSet presAssocID="{C78C4F92-AD69-46C8-910C-41059E8ED0A9}" presName="root2" presStyleCnt="0"/>
      <dgm:spPr/>
    </dgm:pt>
    <dgm:pt modelId="{29F748CF-C0E7-4DEA-B3A3-0E8AEB5CA964}" type="pres">
      <dgm:prSet presAssocID="{C78C4F92-AD69-46C8-910C-41059E8ED0A9}" presName="LevelTwoTextNode" presStyleLbl="node3" presStyleIdx="1" presStyleCnt="7">
        <dgm:presLayoutVars>
          <dgm:chPref val="3"/>
        </dgm:presLayoutVars>
      </dgm:prSet>
      <dgm:spPr/>
    </dgm:pt>
    <dgm:pt modelId="{02AC44EF-F1FC-4C54-8D55-2436304955F9}" type="pres">
      <dgm:prSet presAssocID="{C78C4F92-AD69-46C8-910C-41059E8ED0A9}" presName="level3hierChild" presStyleCnt="0"/>
      <dgm:spPr/>
    </dgm:pt>
    <dgm:pt modelId="{6DA2F3A6-9C84-4FEA-86B3-75F9BF110D8A}" type="pres">
      <dgm:prSet presAssocID="{BFF305F9-FC71-4463-8FF6-2854B7FE0F3B}" presName="conn2-1" presStyleLbl="parChTrans1D3" presStyleIdx="2" presStyleCnt="7"/>
      <dgm:spPr/>
    </dgm:pt>
    <dgm:pt modelId="{24CE5A0D-C909-445F-B739-39ED3A39D0FF}" type="pres">
      <dgm:prSet presAssocID="{BFF305F9-FC71-4463-8FF6-2854B7FE0F3B}" presName="connTx" presStyleCnt="0"/>
      <dgm:spPr/>
    </dgm:pt>
    <dgm:pt modelId="{8B9CFB89-60A8-41BE-A5B8-4C4353F9D301}" type="pres">
      <dgm:prSet presAssocID="{6235023E-61F9-4171-8F18-C8100AEC80D1}" presName="root2" presStyleCnt="0"/>
      <dgm:spPr/>
    </dgm:pt>
    <dgm:pt modelId="{E1B212BC-2675-4BA0-95BC-512335F039D5}" type="pres">
      <dgm:prSet presAssocID="{6235023E-61F9-4171-8F18-C8100AEC80D1}" presName="LevelTwoTextNode" presStyleLbl="node3" presStyleIdx="2" presStyleCnt="7">
        <dgm:presLayoutVars>
          <dgm:chPref val="3"/>
        </dgm:presLayoutVars>
      </dgm:prSet>
      <dgm:spPr/>
    </dgm:pt>
    <dgm:pt modelId="{35ED1E79-5BF3-44B6-B856-974BBCF567D9}" type="pres">
      <dgm:prSet presAssocID="{6235023E-61F9-4171-8F18-C8100AEC80D1}" presName="level3hierChild" presStyleCnt="0"/>
      <dgm:spPr/>
    </dgm:pt>
    <dgm:pt modelId="{2E81B90F-7494-41FF-808F-F7F82B993B40}" type="pres">
      <dgm:prSet presAssocID="{367D7799-1E5C-4947-8AD1-85D1E0D367AF}" presName="conn2-1" presStyleLbl="parChTrans1D2" presStyleIdx="1" presStyleCnt="3"/>
      <dgm:spPr/>
    </dgm:pt>
    <dgm:pt modelId="{0F4B7785-0023-487B-801C-9850969E1D34}" type="pres">
      <dgm:prSet presAssocID="{367D7799-1E5C-4947-8AD1-85D1E0D367AF}" presName="connTx" presStyleCnt="0"/>
      <dgm:spPr/>
    </dgm:pt>
    <dgm:pt modelId="{4925E953-147A-4210-9A9C-63730A307231}" type="pres">
      <dgm:prSet presAssocID="{4E4A1E17-A3EC-4A54-9171-277E11A0B287}" presName="root2" presStyleCnt="0"/>
      <dgm:spPr/>
    </dgm:pt>
    <dgm:pt modelId="{3D382021-A429-4403-82FF-5A95DD3EBB20}" type="pres">
      <dgm:prSet presAssocID="{4E4A1E17-A3EC-4A54-9171-277E11A0B287}" presName="LevelTwoTextNode" presStyleLbl="node2" presStyleIdx="1" presStyleCnt="3">
        <dgm:presLayoutVars>
          <dgm:chPref val="3"/>
        </dgm:presLayoutVars>
      </dgm:prSet>
      <dgm:spPr/>
    </dgm:pt>
    <dgm:pt modelId="{6D231649-1A42-47D5-A289-01058E6A05B6}" type="pres">
      <dgm:prSet presAssocID="{4E4A1E17-A3EC-4A54-9171-277E11A0B287}" presName="level3hierChild" presStyleCnt="0"/>
      <dgm:spPr/>
    </dgm:pt>
    <dgm:pt modelId="{B68D4CB7-ED76-4EEE-B7F0-455597F5F947}" type="pres">
      <dgm:prSet presAssocID="{9EAB334F-AA91-4141-B6FE-557B19FCD964}" presName="conn2-1" presStyleLbl="parChTrans1D3" presStyleIdx="3" presStyleCnt="7"/>
      <dgm:spPr/>
    </dgm:pt>
    <dgm:pt modelId="{5CB1AA4B-5999-455A-85BE-A2532A5BECF0}" type="pres">
      <dgm:prSet presAssocID="{9EAB334F-AA91-4141-B6FE-557B19FCD964}" presName="connTx" presStyleCnt="0"/>
      <dgm:spPr/>
    </dgm:pt>
    <dgm:pt modelId="{A1B09372-2280-4FF7-9810-328BF9428FDA}" type="pres">
      <dgm:prSet presAssocID="{2B9D6902-DCB2-4AC4-BFAC-AF964742FD39}" presName="root2" presStyleCnt="0"/>
      <dgm:spPr/>
    </dgm:pt>
    <dgm:pt modelId="{402901F7-4C4B-47C4-BE12-824FDFB99F9B}" type="pres">
      <dgm:prSet presAssocID="{2B9D6902-DCB2-4AC4-BFAC-AF964742FD39}" presName="LevelTwoTextNode" presStyleLbl="node3" presStyleIdx="3" presStyleCnt="7">
        <dgm:presLayoutVars>
          <dgm:chPref val="3"/>
        </dgm:presLayoutVars>
      </dgm:prSet>
      <dgm:spPr/>
    </dgm:pt>
    <dgm:pt modelId="{48115C91-152F-4201-BB89-A30029998550}" type="pres">
      <dgm:prSet presAssocID="{2B9D6902-DCB2-4AC4-BFAC-AF964742FD39}" presName="level3hierChild" presStyleCnt="0"/>
      <dgm:spPr/>
    </dgm:pt>
    <dgm:pt modelId="{362AAE98-1668-4E0B-A290-E52E8E8ABAD9}" type="pres">
      <dgm:prSet presAssocID="{F820B1CB-F785-4707-B41D-BBF50D7BC418}" presName="conn2-1" presStyleLbl="parChTrans1D3" presStyleIdx="4" presStyleCnt="7"/>
      <dgm:spPr/>
    </dgm:pt>
    <dgm:pt modelId="{1A627514-F0C0-4ABB-A9C8-F799183AB0DE}" type="pres">
      <dgm:prSet presAssocID="{F820B1CB-F785-4707-B41D-BBF50D7BC418}" presName="connTx" presStyleCnt="0"/>
      <dgm:spPr/>
    </dgm:pt>
    <dgm:pt modelId="{275DDD38-15EE-4838-94DA-7272BF8A836D}" type="pres">
      <dgm:prSet presAssocID="{DA4DA252-DFFE-4FD9-845F-B619C68D59F2}" presName="root2" presStyleCnt="0"/>
      <dgm:spPr/>
    </dgm:pt>
    <dgm:pt modelId="{186E390E-5FCE-41C4-99C3-98EDD90EB0D6}" type="pres">
      <dgm:prSet presAssocID="{DA4DA252-DFFE-4FD9-845F-B619C68D59F2}" presName="LevelTwoTextNode" presStyleLbl="node3" presStyleIdx="4" presStyleCnt="7">
        <dgm:presLayoutVars>
          <dgm:chPref val="3"/>
        </dgm:presLayoutVars>
      </dgm:prSet>
      <dgm:spPr/>
    </dgm:pt>
    <dgm:pt modelId="{9280E80A-7622-4221-9D3B-437DD35242EE}" type="pres">
      <dgm:prSet presAssocID="{DA4DA252-DFFE-4FD9-845F-B619C68D59F2}" presName="level3hierChild" presStyleCnt="0"/>
      <dgm:spPr/>
    </dgm:pt>
    <dgm:pt modelId="{1C0EEE0E-7486-4C59-9B2E-E1EEE229A1E7}" type="pres">
      <dgm:prSet presAssocID="{22A4616A-3740-4EF8-A556-6AF933BD5208}" presName="conn2-1" presStyleLbl="parChTrans1D2" presStyleIdx="2" presStyleCnt="3"/>
      <dgm:spPr/>
    </dgm:pt>
    <dgm:pt modelId="{69E74F04-833F-46D0-8907-0ABE05F66690}" type="pres">
      <dgm:prSet presAssocID="{22A4616A-3740-4EF8-A556-6AF933BD5208}" presName="connTx" presStyleCnt="0"/>
      <dgm:spPr/>
    </dgm:pt>
    <dgm:pt modelId="{D20D8061-6567-451B-8D75-69BC2A53F3C9}" type="pres">
      <dgm:prSet presAssocID="{50001047-22C8-460D-8BBB-DCA4F15CC126}" presName="root2" presStyleCnt="0"/>
      <dgm:spPr/>
    </dgm:pt>
    <dgm:pt modelId="{0C15749D-0910-449D-A6B7-BD9C98E3EF0A}" type="pres">
      <dgm:prSet presAssocID="{50001047-22C8-460D-8BBB-DCA4F15CC126}" presName="LevelTwoTextNode" presStyleLbl="node2" presStyleIdx="2" presStyleCnt="3">
        <dgm:presLayoutVars>
          <dgm:chPref val="3"/>
        </dgm:presLayoutVars>
      </dgm:prSet>
      <dgm:spPr/>
    </dgm:pt>
    <dgm:pt modelId="{FC94C3AA-72B8-43C9-932B-98857469F529}" type="pres">
      <dgm:prSet presAssocID="{50001047-22C8-460D-8BBB-DCA4F15CC126}" presName="level3hierChild" presStyleCnt="0"/>
      <dgm:spPr/>
    </dgm:pt>
    <dgm:pt modelId="{C05DB4D3-4BBA-49B9-ADE2-8AA0C8B74F60}" type="pres">
      <dgm:prSet presAssocID="{4C72BF22-329D-4AB6-BBE3-70D75634D264}" presName="conn2-1" presStyleLbl="parChTrans1D3" presStyleIdx="5" presStyleCnt="7"/>
      <dgm:spPr/>
    </dgm:pt>
    <dgm:pt modelId="{ADC7184B-88DB-4D87-B392-1A2AA28AC64D}" type="pres">
      <dgm:prSet presAssocID="{4C72BF22-329D-4AB6-BBE3-70D75634D264}" presName="connTx" presStyleCnt="0"/>
      <dgm:spPr/>
    </dgm:pt>
    <dgm:pt modelId="{A6B2C40F-C5F8-4C6F-A44F-A1A8A705EEE2}" type="pres">
      <dgm:prSet presAssocID="{52835F21-38CA-4267-9BB1-39A5A61E2651}" presName="root2" presStyleCnt="0"/>
      <dgm:spPr/>
    </dgm:pt>
    <dgm:pt modelId="{CB110AA7-91E2-443A-A0E8-121780B44941}" type="pres">
      <dgm:prSet presAssocID="{52835F21-38CA-4267-9BB1-39A5A61E2651}" presName="LevelTwoTextNode" presStyleLbl="node3" presStyleIdx="5" presStyleCnt="7">
        <dgm:presLayoutVars>
          <dgm:chPref val="3"/>
        </dgm:presLayoutVars>
      </dgm:prSet>
      <dgm:spPr/>
    </dgm:pt>
    <dgm:pt modelId="{8B9FCB40-2E0A-4565-9F5B-A4FD6A173975}" type="pres">
      <dgm:prSet presAssocID="{52835F21-38CA-4267-9BB1-39A5A61E2651}" presName="level3hierChild" presStyleCnt="0"/>
      <dgm:spPr/>
    </dgm:pt>
    <dgm:pt modelId="{862F12EC-3C7D-4E31-86BD-47AE065C1747}" type="pres">
      <dgm:prSet presAssocID="{07D21172-0D7B-4904-8924-2BFE62686545}" presName="conn2-1" presStyleLbl="parChTrans1D4" presStyleIdx="0" presStyleCnt="1"/>
      <dgm:spPr/>
    </dgm:pt>
    <dgm:pt modelId="{D86BD6E0-5F16-44B5-96A3-AB88648C3CC1}" type="pres">
      <dgm:prSet presAssocID="{07D21172-0D7B-4904-8924-2BFE62686545}" presName="connTx" presStyleCnt="0"/>
      <dgm:spPr/>
    </dgm:pt>
    <dgm:pt modelId="{08B84CE7-45C5-4ED3-B133-537FDC45C3C6}" type="pres">
      <dgm:prSet presAssocID="{77AC4EDE-A0BE-418C-B5C7-7B6C52AE3B98}" presName="root2" presStyleCnt="0"/>
      <dgm:spPr/>
    </dgm:pt>
    <dgm:pt modelId="{01E7C100-9A8D-4181-9E5D-0041BC5BA078}" type="pres">
      <dgm:prSet presAssocID="{77AC4EDE-A0BE-418C-B5C7-7B6C52AE3B98}" presName="LevelTwoTextNode" presStyleLbl="node4" presStyleIdx="0" presStyleCnt="1">
        <dgm:presLayoutVars>
          <dgm:chPref val="3"/>
        </dgm:presLayoutVars>
      </dgm:prSet>
      <dgm:spPr/>
    </dgm:pt>
    <dgm:pt modelId="{241871A5-A46F-4580-B3CB-AABA37C91124}" type="pres">
      <dgm:prSet presAssocID="{77AC4EDE-A0BE-418C-B5C7-7B6C52AE3B98}" presName="level3hierChild" presStyleCnt="0"/>
      <dgm:spPr/>
    </dgm:pt>
    <dgm:pt modelId="{C61F1509-F9F4-4294-82E3-D831D8F516C9}" type="pres">
      <dgm:prSet presAssocID="{405FF5B0-7738-4C43-8AB3-982CF7FE8A2C}" presName="conn2-1" presStyleLbl="parChTrans1D3" presStyleIdx="6" presStyleCnt="7"/>
      <dgm:spPr/>
    </dgm:pt>
    <dgm:pt modelId="{FB6DA7D6-4E41-4055-9FE2-F934B14A9EBA}" type="pres">
      <dgm:prSet presAssocID="{405FF5B0-7738-4C43-8AB3-982CF7FE8A2C}" presName="connTx" presStyleCnt="0"/>
      <dgm:spPr/>
    </dgm:pt>
    <dgm:pt modelId="{5AB83A7E-3D92-4223-A0FB-4D7E28446021}" type="pres">
      <dgm:prSet presAssocID="{AA9F1E84-05DD-422D-8F7A-E136DDD3E406}" presName="root2" presStyleCnt="0"/>
      <dgm:spPr/>
    </dgm:pt>
    <dgm:pt modelId="{A1CA06D3-CCDE-4C76-BA3E-DD43BAE88B86}" type="pres">
      <dgm:prSet presAssocID="{AA9F1E84-05DD-422D-8F7A-E136DDD3E406}" presName="LevelTwoTextNode" presStyleLbl="node3" presStyleIdx="6" presStyleCnt="7">
        <dgm:presLayoutVars>
          <dgm:chPref val="3"/>
        </dgm:presLayoutVars>
      </dgm:prSet>
      <dgm:spPr/>
    </dgm:pt>
    <dgm:pt modelId="{A82F8B1F-F8C7-41CD-99E4-9B64012C4330}" type="pres">
      <dgm:prSet presAssocID="{AA9F1E84-05DD-422D-8F7A-E136DDD3E406}" presName="level3hierChild" presStyleCnt="0"/>
      <dgm:spPr/>
    </dgm:pt>
  </dgm:ptLst>
  <dgm:cxnLst>
    <dgm:cxn modelId="{73A50A54-2DE4-4B2C-BB79-69338DD48BD4}" srcId="{EFE73B03-4D71-4565-8C52-4902BE6377A4}" destId="{0605F139-5EF0-48E7-A091-192233D2011D}" srcOrd="0" destOrd="0" parTransId="{2AFB1B2A-8749-4E5E-9CB9-0B60F81C46F8}" sibTransId="{E0FFEB56-236E-4FE9-83BF-31494E265D5A}"/>
    <dgm:cxn modelId="{852EBE1C-6496-4810-8339-C249CB4F3FD7}" srcId="{0605F139-5EF0-48E7-A091-192233D2011D}" destId="{4530EE7D-F557-4815-9ED2-EABC47F46978}" srcOrd="0" destOrd="0" parTransId="{AC2BFF99-DAE2-494A-88AB-85D75BC6D2EE}" sibTransId="{B98A0394-6758-42EB-8D0E-4491BED52B6C}"/>
    <dgm:cxn modelId="{D335E357-F584-427A-8C54-C3CAC5BD42F6}" srcId="{4530EE7D-F557-4815-9ED2-EABC47F46978}" destId="{2C2A4BF3-AA22-4080-9546-909CF9AC3ECB}" srcOrd="0" destOrd="0" parTransId="{4A6A0524-D9B7-4A37-8E78-5FE688BDCCE6}" sibTransId="{39CECE7E-7D7C-4022-9437-1E0813814145}"/>
    <dgm:cxn modelId="{A55EFB50-ABCB-49DD-B117-A1F3E9C6F7C4}" srcId="{4530EE7D-F557-4815-9ED2-EABC47F46978}" destId="{C78C4F92-AD69-46C8-910C-41059E8ED0A9}" srcOrd="1" destOrd="0" parTransId="{581124B7-0397-40F7-9B1D-41220103BA68}" sibTransId="{A23C44A9-E7A6-467B-BF93-DD0656347715}"/>
    <dgm:cxn modelId="{D189C1D5-A34F-4F6C-9258-49083596848C}" srcId="{4530EE7D-F557-4815-9ED2-EABC47F46978}" destId="{6235023E-61F9-4171-8F18-C8100AEC80D1}" srcOrd="2" destOrd="0" parTransId="{BFF305F9-FC71-4463-8FF6-2854B7FE0F3B}" sibTransId="{CC746A0F-6F84-4C5E-ABDC-05BD50284BF5}"/>
    <dgm:cxn modelId="{28762AED-52A4-4BC9-9B2C-E32161D89D7B}" srcId="{0605F139-5EF0-48E7-A091-192233D2011D}" destId="{4E4A1E17-A3EC-4A54-9171-277E11A0B287}" srcOrd="1" destOrd="0" parTransId="{367D7799-1E5C-4947-8AD1-85D1E0D367AF}" sibTransId="{7FFEBD18-7D5B-41C0-A8F3-60942A71708D}"/>
    <dgm:cxn modelId="{487BAA16-C610-4BB1-9CB0-34D761B9D83C}" srcId="{4E4A1E17-A3EC-4A54-9171-277E11A0B287}" destId="{2B9D6902-DCB2-4AC4-BFAC-AF964742FD39}" srcOrd="0" destOrd="1" parTransId="{9EAB334F-AA91-4141-B6FE-557B19FCD964}" sibTransId="{EB4A7ACA-5833-4A98-973D-A8E863091431}"/>
    <dgm:cxn modelId="{16E4D43D-2C5A-4BB8-9BC3-10ABA19F3B7E}" srcId="{4E4A1E17-A3EC-4A54-9171-277E11A0B287}" destId="{DA4DA252-DFFE-4FD9-845F-B619C68D59F2}" srcOrd="1" destOrd="1" parTransId="{F820B1CB-F785-4707-B41D-BBF50D7BC418}" sibTransId="{DFC588A3-9A42-4BCC-850D-5F653C4207CA}"/>
    <dgm:cxn modelId="{28C36725-18AA-426A-843F-0331A217CA64}" srcId="{0605F139-5EF0-48E7-A091-192233D2011D}" destId="{50001047-22C8-460D-8BBB-DCA4F15CC126}" srcOrd="2" destOrd="0" parTransId="{22A4616A-3740-4EF8-A556-6AF933BD5208}" sibTransId="{5B98CBBA-B2B1-48E8-BBD5-1EC393852D79}"/>
    <dgm:cxn modelId="{31221155-61B2-4806-921D-4449B377ADBF}" srcId="{50001047-22C8-460D-8BBB-DCA4F15CC126}" destId="{52835F21-38CA-4267-9BB1-39A5A61E2651}" srcOrd="0" destOrd="2" parTransId="{4C72BF22-329D-4AB6-BBE3-70D75634D264}" sibTransId="{2336DE99-2EAF-4970-8A32-5EC664820914}"/>
    <dgm:cxn modelId="{454550CB-7DEB-4A37-82DC-FF27F2E9D083}" srcId="{52835F21-38CA-4267-9BB1-39A5A61E2651}" destId="{77AC4EDE-A0BE-418C-B5C7-7B6C52AE3B98}" srcOrd="0" destOrd="0" parTransId="{07D21172-0D7B-4904-8924-2BFE62686545}" sibTransId="{9B288E0C-03DD-49F0-8F9B-6B06413A2F49}"/>
    <dgm:cxn modelId="{F8AFA0E9-3CF6-4DDA-AAF3-E813D97C5851}" srcId="{50001047-22C8-460D-8BBB-DCA4F15CC126}" destId="{AA9F1E84-05DD-422D-8F7A-E136DDD3E406}" srcOrd="1" destOrd="2" parTransId="{405FF5B0-7738-4C43-8AB3-982CF7FE8A2C}" sibTransId="{BC67C6FD-F8CA-42C3-9071-5A4A7FF4C618}"/>
    <dgm:cxn modelId="{6BD87460-B5FC-46E3-9526-A162760D4174}" type="presOf" srcId="{EFE73B03-4D71-4565-8C52-4902BE6377A4}" destId="{5FBAB40F-6011-4629-9B30-77C9439C91BF}" srcOrd="0" destOrd="0" presId="urn:microsoft.com/office/officeart/2005/8/layout/hierarchy2"/>
    <dgm:cxn modelId="{EC9C307D-A472-4394-AAEE-ABE972CFC7A2}" type="presParOf" srcId="{5FBAB40F-6011-4629-9B30-77C9439C91BF}" destId="{2332AA2E-A989-4175-BB73-78EA4C3BDB65}" srcOrd="0" destOrd="0" presId="urn:microsoft.com/office/officeart/2005/8/layout/hierarchy2"/>
    <dgm:cxn modelId="{2DE93946-1360-40F7-BB19-97C4465B70BF}" type="presParOf" srcId="{2332AA2E-A989-4175-BB73-78EA4C3BDB65}" destId="{24E3F4AB-32FB-4CE0-9DAC-FC4DD26B5900}" srcOrd="0" destOrd="0" presId="urn:microsoft.com/office/officeart/2005/8/layout/hierarchy2"/>
    <dgm:cxn modelId="{F36D39B6-62F6-4D67-A106-DA4094787EB2}" type="presOf" srcId="{0605F139-5EF0-48E7-A091-192233D2011D}" destId="{24E3F4AB-32FB-4CE0-9DAC-FC4DD26B5900}" srcOrd="0" destOrd="0" presId="urn:microsoft.com/office/officeart/2005/8/layout/hierarchy2"/>
    <dgm:cxn modelId="{11FB9408-8308-48AF-B21B-D3E953235CB0}" type="presParOf" srcId="{2332AA2E-A989-4175-BB73-78EA4C3BDB65}" destId="{44F25638-8073-4DA7-9390-5AC06A304565}" srcOrd="1" destOrd="0" presId="urn:microsoft.com/office/officeart/2005/8/layout/hierarchy2"/>
    <dgm:cxn modelId="{769CC271-087D-4787-81BF-18C699EBF161}" type="presParOf" srcId="{44F25638-8073-4DA7-9390-5AC06A304565}" destId="{B47BD6C9-6D53-4A69-975F-9CF96E25F10F}" srcOrd="0" destOrd="1" presId="urn:microsoft.com/office/officeart/2005/8/layout/hierarchy2"/>
    <dgm:cxn modelId="{40C6AA53-8912-4C52-8C94-4518D6911E9A}" type="presOf" srcId="{AC2BFF99-DAE2-494A-88AB-85D75BC6D2EE}" destId="{B47BD6C9-6D53-4A69-975F-9CF96E25F10F}" srcOrd="0" destOrd="0" presId="urn:microsoft.com/office/officeart/2005/8/layout/hierarchy2"/>
    <dgm:cxn modelId="{C4D7121D-2750-447D-ABE0-1D0497745A9D}" type="presParOf" srcId="{B47BD6C9-6D53-4A69-975F-9CF96E25F10F}" destId="{C1833E64-0598-4ED8-B73B-4C820BB35531}" srcOrd="0" destOrd="0" presId="urn:microsoft.com/office/officeart/2005/8/layout/hierarchy2"/>
    <dgm:cxn modelId="{357BDCDF-B630-471E-A648-47A70084EBC9}" type="presOf" srcId="{AC2BFF99-DAE2-494A-88AB-85D75BC6D2EE}" destId="{C1833E64-0598-4ED8-B73B-4C820BB35531}" srcOrd="1" destOrd="0" presId="urn:microsoft.com/office/officeart/2005/8/layout/hierarchy2"/>
    <dgm:cxn modelId="{31F6E4E7-B8AB-4D43-98E3-0F0822699224}" type="presParOf" srcId="{44F25638-8073-4DA7-9390-5AC06A304565}" destId="{46F58ACF-5130-428E-B3EF-87D6FEC0C921}" srcOrd="1" destOrd="1" presId="urn:microsoft.com/office/officeart/2005/8/layout/hierarchy2"/>
    <dgm:cxn modelId="{C3F2E6E8-7925-4B71-B08B-2EAF1F345EBC}" type="presParOf" srcId="{46F58ACF-5130-428E-B3EF-87D6FEC0C921}" destId="{3C0D5057-54F2-42F8-ADAD-AA27A1CC1A1B}" srcOrd="0" destOrd="1" presId="urn:microsoft.com/office/officeart/2005/8/layout/hierarchy2"/>
    <dgm:cxn modelId="{5C8BA769-6A25-419C-BD2F-34B4050620C5}" type="presOf" srcId="{4530EE7D-F557-4815-9ED2-EABC47F46978}" destId="{3C0D5057-54F2-42F8-ADAD-AA27A1CC1A1B}" srcOrd="0" destOrd="0" presId="urn:microsoft.com/office/officeart/2005/8/layout/hierarchy2"/>
    <dgm:cxn modelId="{0840C09F-9004-4029-B21A-6CD1E69C21CC}" type="presParOf" srcId="{46F58ACF-5130-428E-B3EF-87D6FEC0C921}" destId="{48673F39-879C-4946-8DC7-FD68F0552920}" srcOrd="1" destOrd="1" presId="urn:microsoft.com/office/officeart/2005/8/layout/hierarchy2"/>
    <dgm:cxn modelId="{35AD460C-8C55-49CF-90C4-9D5C4951FFF7}" type="presParOf" srcId="{48673F39-879C-4946-8DC7-FD68F0552920}" destId="{FA61825B-C877-4D42-AAFB-0586288A9783}" srcOrd="0" destOrd="1" presId="urn:microsoft.com/office/officeart/2005/8/layout/hierarchy2"/>
    <dgm:cxn modelId="{585AA65C-D653-42A0-8363-AB1181071826}" type="presOf" srcId="{4A6A0524-D9B7-4A37-8E78-5FE688BDCCE6}" destId="{FA61825B-C877-4D42-AAFB-0586288A9783}" srcOrd="0" destOrd="0" presId="urn:microsoft.com/office/officeart/2005/8/layout/hierarchy2"/>
    <dgm:cxn modelId="{2061A8C8-413B-4E13-A815-D2D17E1AA49A}" type="presParOf" srcId="{FA61825B-C877-4D42-AAFB-0586288A9783}" destId="{66B35CF0-1806-4E4A-8B50-99A64DECDBA9}" srcOrd="0" destOrd="0" presId="urn:microsoft.com/office/officeart/2005/8/layout/hierarchy2"/>
    <dgm:cxn modelId="{1DDCA914-1F70-4F2C-AC8A-10A7091DB1A2}" type="presOf" srcId="{4A6A0524-D9B7-4A37-8E78-5FE688BDCCE6}" destId="{66B35CF0-1806-4E4A-8B50-99A64DECDBA9}" srcOrd="1" destOrd="0" presId="urn:microsoft.com/office/officeart/2005/8/layout/hierarchy2"/>
    <dgm:cxn modelId="{6BC2A5EA-B803-4E4C-8209-D3C5F219FEED}" type="presParOf" srcId="{48673F39-879C-4946-8DC7-FD68F0552920}" destId="{F95D7524-EA0E-4F9D-9D6F-B10856D5C83F}" srcOrd="1" destOrd="1" presId="urn:microsoft.com/office/officeart/2005/8/layout/hierarchy2"/>
    <dgm:cxn modelId="{8DD3B5EE-BEEC-4681-971F-540BB4881CB3}" type="presParOf" srcId="{F95D7524-EA0E-4F9D-9D6F-B10856D5C83F}" destId="{63712EDC-9AF8-41BC-8F72-ADF8D554FF07}" srcOrd="0" destOrd="1" presId="urn:microsoft.com/office/officeart/2005/8/layout/hierarchy2"/>
    <dgm:cxn modelId="{7CA8E86D-CCEB-44AD-9E8B-21508CC0BE7E}" type="presOf" srcId="{2C2A4BF3-AA22-4080-9546-909CF9AC3ECB}" destId="{63712EDC-9AF8-41BC-8F72-ADF8D554FF07}" srcOrd="0" destOrd="0" presId="urn:microsoft.com/office/officeart/2005/8/layout/hierarchy2"/>
    <dgm:cxn modelId="{5653F28D-C8D1-4F2F-838F-1FBC611C98C9}" type="presParOf" srcId="{F95D7524-EA0E-4F9D-9D6F-B10856D5C83F}" destId="{E0C65410-D9BC-4E23-87DE-EBBC54AD2166}" srcOrd="1" destOrd="1" presId="urn:microsoft.com/office/officeart/2005/8/layout/hierarchy2"/>
    <dgm:cxn modelId="{3271C41C-E52D-445A-A342-1AB7AC637A6E}" type="presParOf" srcId="{48673F39-879C-4946-8DC7-FD68F0552920}" destId="{E81582B1-A130-479F-ACE3-61EF727591CE}" srcOrd="2" destOrd="1" presId="urn:microsoft.com/office/officeart/2005/8/layout/hierarchy2"/>
    <dgm:cxn modelId="{D3047A18-F7CD-4346-BA66-ADCAE5E24734}" type="presOf" srcId="{581124B7-0397-40F7-9B1D-41220103BA68}" destId="{E81582B1-A130-479F-ACE3-61EF727591CE}" srcOrd="0" destOrd="0" presId="urn:microsoft.com/office/officeart/2005/8/layout/hierarchy2"/>
    <dgm:cxn modelId="{0A19A4A8-3137-44CA-84A1-0C0405A80C26}" type="presParOf" srcId="{E81582B1-A130-479F-ACE3-61EF727591CE}" destId="{C3EBFA62-33AA-4455-9D61-7B96DA4B37A4}" srcOrd="0" destOrd="2" presId="urn:microsoft.com/office/officeart/2005/8/layout/hierarchy2"/>
    <dgm:cxn modelId="{CB11791B-E93D-471A-B572-0CDE00D581BD}" type="presOf" srcId="{581124B7-0397-40F7-9B1D-41220103BA68}" destId="{C3EBFA62-33AA-4455-9D61-7B96DA4B37A4}" srcOrd="1" destOrd="0" presId="urn:microsoft.com/office/officeart/2005/8/layout/hierarchy2"/>
    <dgm:cxn modelId="{EAF445E5-5590-4797-AC78-A4108FDB1F81}" type="presParOf" srcId="{48673F39-879C-4946-8DC7-FD68F0552920}" destId="{2DF34A52-3962-401F-8488-13EE54243675}" srcOrd="3" destOrd="1" presId="urn:microsoft.com/office/officeart/2005/8/layout/hierarchy2"/>
    <dgm:cxn modelId="{2D24A0E2-9E2A-4869-96C0-559C4BFC62A8}" type="presParOf" srcId="{2DF34A52-3962-401F-8488-13EE54243675}" destId="{29F748CF-C0E7-4DEA-B3A3-0E8AEB5CA964}" srcOrd="0" destOrd="3" presId="urn:microsoft.com/office/officeart/2005/8/layout/hierarchy2"/>
    <dgm:cxn modelId="{B48A50B2-9DB8-4FA9-BC87-EAF0B67FA797}" type="presOf" srcId="{C78C4F92-AD69-46C8-910C-41059E8ED0A9}" destId="{29F748CF-C0E7-4DEA-B3A3-0E8AEB5CA964}" srcOrd="0" destOrd="0" presId="urn:microsoft.com/office/officeart/2005/8/layout/hierarchy2"/>
    <dgm:cxn modelId="{87B8D1E1-772F-4CF6-9CE0-08E5B3AA7544}" type="presParOf" srcId="{2DF34A52-3962-401F-8488-13EE54243675}" destId="{02AC44EF-F1FC-4C54-8D55-2436304955F9}" srcOrd="1" destOrd="3" presId="urn:microsoft.com/office/officeart/2005/8/layout/hierarchy2"/>
    <dgm:cxn modelId="{3585077C-9604-44E9-9E8D-B6505E4A08DC}" type="presParOf" srcId="{48673F39-879C-4946-8DC7-FD68F0552920}" destId="{6DA2F3A6-9C84-4FEA-86B3-75F9BF110D8A}" srcOrd="4" destOrd="1" presId="urn:microsoft.com/office/officeart/2005/8/layout/hierarchy2"/>
    <dgm:cxn modelId="{8C480AAB-8FBA-4569-8C7D-2103F309DA36}" type="presOf" srcId="{BFF305F9-FC71-4463-8FF6-2854B7FE0F3B}" destId="{6DA2F3A6-9C84-4FEA-86B3-75F9BF110D8A}" srcOrd="0" destOrd="0" presId="urn:microsoft.com/office/officeart/2005/8/layout/hierarchy2"/>
    <dgm:cxn modelId="{191540B3-67D6-4333-9649-CEDD84B406D4}" type="presParOf" srcId="{6DA2F3A6-9C84-4FEA-86B3-75F9BF110D8A}" destId="{24CE5A0D-C909-445F-B739-39ED3A39D0FF}" srcOrd="0" destOrd="4" presId="urn:microsoft.com/office/officeart/2005/8/layout/hierarchy2"/>
    <dgm:cxn modelId="{879F0286-7CF0-466A-9C60-0D831A42D6C7}" type="presOf" srcId="{BFF305F9-FC71-4463-8FF6-2854B7FE0F3B}" destId="{24CE5A0D-C909-445F-B739-39ED3A39D0FF}" srcOrd="1" destOrd="0" presId="urn:microsoft.com/office/officeart/2005/8/layout/hierarchy2"/>
    <dgm:cxn modelId="{8A521BD3-B991-41AB-BA9F-53B6FDE3B943}" type="presParOf" srcId="{48673F39-879C-4946-8DC7-FD68F0552920}" destId="{8B9CFB89-60A8-41BE-A5B8-4C4353F9D301}" srcOrd="5" destOrd="1" presId="urn:microsoft.com/office/officeart/2005/8/layout/hierarchy2"/>
    <dgm:cxn modelId="{DBE6E4FE-0250-4C34-BAED-0C1C3FFB9917}" type="presParOf" srcId="{8B9CFB89-60A8-41BE-A5B8-4C4353F9D301}" destId="{E1B212BC-2675-4BA0-95BC-512335F039D5}" srcOrd="0" destOrd="5" presId="urn:microsoft.com/office/officeart/2005/8/layout/hierarchy2"/>
    <dgm:cxn modelId="{AF88902F-F498-48E6-AFBB-1FF624129F81}" type="presOf" srcId="{6235023E-61F9-4171-8F18-C8100AEC80D1}" destId="{E1B212BC-2675-4BA0-95BC-512335F039D5}" srcOrd="0" destOrd="0" presId="urn:microsoft.com/office/officeart/2005/8/layout/hierarchy2"/>
    <dgm:cxn modelId="{91B20B67-D84A-4354-85F4-21F879F2B5D2}" type="presParOf" srcId="{8B9CFB89-60A8-41BE-A5B8-4C4353F9D301}" destId="{35ED1E79-5BF3-44B6-B856-974BBCF567D9}" srcOrd="1" destOrd="5" presId="urn:microsoft.com/office/officeart/2005/8/layout/hierarchy2"/>
    <dgm:cxn modelId="{CD4E9331-B201-43A7-A02B-30DCBB97E52A}" type="presParOf" srcId="{44F25638-8073-4DA7-9390-5AC06A304565}" destId="{2E81B90F-7494-41FF-808F-F7F82B993B40}" srcOrd="2" destOrd="1" presId="urn:microsoft.com/office/officeart/2005/8/layout/hierarchy2"/>
    <dgm:cxn modelId="{CA1E4238-91E6-4EEA-85E1-51E555AD805A}" type="presOf" srcId="{367D7799-1E5C-4947-8AD1-85D1E0D367AF}" destId="{2E81B90F-7494-41FF-808F-F7F82B993B40}" srcOrd="0" destOrd="0" presId="urn:microsoft.com/office/officeart/2005/8/layout/hierarchy2"/>
    <dgm:cxn modelId="{DE5FABA9-A798-4708-9897-96B5A59311D2}" type="presParOf" srcId="{2E81B90F-7494-41FF-808F-F7F82B993B40}" destId="{0F4B7785-0023-487B-801C-9850969E1D34}" srcOrd="0" destOrd="2" presId="urn:microsoft.com/office/officeart/2005/8/layout/hierarchy2"/>
    <dgm:cxn modelId="{9387EF2D-3713-42E7-9B2C-1017232BD072}" type="presOf" srcId="{367D7799-1E5C-4947-8AD1-85D1E0D367AF}" destId="{0F4B7785-0023-487B-801C-9850969E1D34}" srcOrd="1" destOrd="0" presId="urn:microsoft.com/office/officeart/2005/8/layout/hierarchy2"/>
    <dgm:cxn modelId="{D6DB2D8F-602E-40C0-98B7-3DB8392ED13B}" type="presParOf" srcId="{44F25638-8073-4DA7-9390-5AC06A304565}" destId="{4925E953-147A-4210-9A9C-63730A307231}" srcOrd="3" destOrd="1" presId="urn:microsoft.com/office/officeart/2005/8/layout/hierarchy2"/>
    <dgm:cxn modelId="{7833FAF6-555A-4033-9B8F-37ED87B5FF55}" type="presParOf" srcId="{4925E953-147A-4210-9A9C-63730A307231}" destId="{3D382021-A429-4403-82FF-5A95DD3EBB20}" srcOrd="0" destOrd="3" presId="urn:microsoft.com/office/officeart/2005/8/layout/hierarchy2"/>
    <dgm:cxn modelId="{CDBB30D6-8740-48DA-AA87-3CD6E85DEF76}" type="presOf" srcId="{4E4A1E17-A3EC-4A54-9171-277E11A0B287}" destId="{3D382021-A429-4403-82FF-5A95DD3EBB20}" srcOrd="0" destOrd="0" presId="urn:microsoft.com/office/officeart/2005/8/layout/hierarchy2"/>
    <dgm:cxn modelId="{F628E6F1-E0C4-4D35-B072-9CBA657C7458}" type="presParOf" srcId="{4925E953-147A-4210-9A9C-63730A307231}" destId="{6D231649-1A42-47D5-A289-01058E6A05B6}" srcOrd="1" destOrd="3" presId="urn:microsoft.com/office/officeart/2005/8/layout/hierarchy2"/>
    <dgm:cxn modelId="{A1CE2453-91D4-47CF-894C-7C0B75EC9E6E}" type="presParOf" srcId="{6D231649-1A42-47D5-A289-01058E6A05B6}" destId="{B68D4CB7-ED76-4EEE-B7F0-455597F5F947}" srcOrd="0" destOrd="1" presId="urn:microsoft.com/office/officeart/2005/8/layout/hierarchy2"/>
    <dgm:cxn modelId="{F91D965D-CE8C-4FF3-B81E-4514EFCC4A70}" type="presOf" srcId="{9EAB334F-AA91-4141-B6FE-557B19FCD964}" destId="{B68D4CB7-ED76-4EEE-B7F0-455597F5F947}" srcOrd="0" destOrd="0" presId="urn:microsoft.com/office/officeart/2005/8/layout/hierarchy2"/>
    <dgm:cxn modelId="{4D7F21D4-6508-4FED-9828-75BC210DBC78}" type="presParOf" srcId="{B68D4CB7-ED76-4EEE-B7F0-455597F5F947}" destId="{5CB1AA4B-5999-455A-85BE-A2532A5BECF0}" srcOrd="0" destOrd="0" presId="urn:microsoft.com/office/officeart/2005/8/layout/hierarchy2"/>
    <dgm:cxn modelId="{B0D5B69D-7C56-4FE5-B0BB-3EBE0E0199B0}" type="presOf" srcId="{9EAB334F-AA91-4141-B6FE-557B19FCD964}" destId="{5CB1AA4B-5999-455A-85BE-A2532A5BECF0}" srcOrd="1" destOrd="0" presId="urn:microsoft.com/office/officeart/2005/8/layout/hierarchy2"/>
    <dgm:cxn modelId="{B8BABA09-28F7-4557-94DF-5A3FBCFEBBBC}" type="presParOf" srcId="{6D231649-1A42-47D5-A289-01058E6A05B6}" destId="{A1B09372-2280-4FF7-9810-328BF9428FDA}" srcOrd="1" destOrd="1" presId="urn:microsoft.com/office/officeart/2005/8/layout/hierarchy2"/>
    <dgm:cxn modelId="{ACFAAC26-FD9D-4549-9A88-2F9FF1D87EF7}" type="presParOf" srcId="{A1B09372-2280-4FF7-9810-328BF9428FDA}" destId="{402901F7-4C4B-47C4-BE12-824FDFB99F9B}" srcOrd="0" destOrd="1" presId="urn:microsoft.com/office/officeart/2005/8/layout/hierarchy2"/>
    <dgm:cxn modelId="{C230CAA2-4F9D-4800-B627-A89AC6AA4A81}" type="presOf" srcId="{2B9D6902-DCB2-4AC4-BFAC-AF964742FD39}" destId="{402901F7-4C4B-47C4-BE12-824FDFB99F9B}" srcOrd="0" destOrd="0" presId="urn:microsoft.com/office/officeart/2005/8/layout/hierarchy2"/>
    <dgm:cxn modelId="{23D77624-49D5-427B-83DC-6D651E4905A4}" type="presParOf" srcId="{A1B09372-2280-4FF7-9810-328BF9428FDA}" destId="{48115C91-152F-4201-BB89-A30029998550}" srcOrd="1" destOrd="1" presId="urn:microsoft.com/office/officeart/2005/8/layout/hierarchy2"/>
    <dgm:cxn modelId="{EAACD406-7426-4DB0-BAFC-DE024803FE24}" type="presParOf" srcId="{6D231649-1A42-47D5-A289-01058E6A05B6}" destId="{362AAE98-1668-4E0B-A290-E52E8E8ABAD9}" srcOrd="2" destOrd="1" presId="urn:microsoft.com/office/officeart/2005/8/layout/hierarchy2"/>
    <dgm:cxn modelId="{54A6689A-46F0-46A7-851B-5F8DAC701EE1}" type="presOf" srcId="{F820B1CB-F785-4707-B41D-BBF50D7BC418}" destId="{362AAE98-1668-4E0B-A290-E52E8E8ABAD9}" srcOrd="0" destOrd="0" presId="urn:microsoft.com/office/officeart/2005/8/layout/hierarchy2"/>
    <dgm:cxn modelId="{30D7BF52-46F7-4D50-B9C5-D7517B8CE160}" type="presParOf" srcId="{362AAE98-1668-4E0B-A290-E52E8E8ABAD9}" destId="{1A627514-F0C0-4ABB-A9C8-F799183AB0DE}" srcOrd="0" destOrd="2" presId="urn:microsoft.com/office/officeart/2005/8/layout/hierarchy2"/>
    <dgm:cxn modelId="{C8405DC9-8BBE-4499-9AFE-E29DAFFB1D35}" type="presOf" srcId="{F820B1CB-F785-4707-B41D-BBF50D7BC418}" destId="{1A627514-F0C0-4ABB-A9C8-F799183AB0DE}" srcOrd="1" destOrd="0" presId="urn:microsoft.com/office/officeart/2005/8/layout/hierarchy2"/>
    <dgm:cxn modelId="{D38360F4-F2B4-4E2D-B36D-C0F49D93B82D}" type="presParOf" srcId="{6D231649-1A42-47D5-A289-01058E6A05B6}" destId="{275DDD38-15EE-4838-94DA-7272BF8A836D}" srcOrd="3" destOrd="1" presId="urn:microsoft.com/office/officeart/2005/8/layout/hierarchy2"/>
    <dgm:cxn modelId="{887163F3-A561-494F-9D88-EDC8E0EC0C63}" type="presParOf" srcId="{275DDD38-15EE-4838-94DA-7272BF8A836D}" destId="{186E390E-5FCE-41C4-99C3-98EDD90EB0D6}" srcOrd="0" destOrd="3" presId="urn:microsoft.com/office/officeart/2005/8/layout/hierarchy2"/>
    <dgm:cxn modelId="{5BA69C8D-0500-449F-9305-30CB1C53DCB1}" type="presOf" srcId="{DA4DA252-DFFE-4FD9-845F-B619C68D59F2}" destId="{186E390E-5FCE-41C4-99C3-98EDD90EB0D6}" srcOrd="0" destOrd="0" presId="urn:microsoft.com/office/officeart/2005/8/layout/hierarchy2"/>
    <dgm:cxn modelId="{6370D109-A5A5-42C1-85FD-A3EEEE662043}" type="presParOf" srcId="{275DDD38-15EE-4838-94DA-7272BF8A836D}" destId="{9280E80A-7622-4221-9D3B-437DD35242EE}" srcOrd="1" destOrd="3" presId="urn:microsoft.com/office/officeart/2005/8/layout/hierarchy2"/>
    <dgm:cxn modelId="{B152215A-7A27-4B6B-816A-C0F638BD3C9B}" type="presParOf" srcId="{44F25638-8073-4DA7-9390-5AC06A304565}" destId="{1C0EEE0E-7486-4C59-9B2E-E1EEE229A1E7}" srcOrd="4" destOrd="1" presId="urn:microsoft.com/office/officeart/2005/8/layout/hierarchy2"/>
    <dgm:cxn modelId="{2174400A-2F94-41DD-B3F5-0370CD06724E}" type="presOf" srcId="{22A4616A-3740-4EF8-A556-6AF933BD5208}" destId="{1C0EEE0E-7486-4C59-9B2E-E1EEE229A1E7}" srcOrd="0" destOrd="0" presId="urn:microsoft.com/office/officeart/2005/8/layout/hierarchy2"/>
    <dgm:cxn modelId="{65010E52-B1C0-4D54-8492-317694B8A3A2}" type="presParOf" srcId="{1C0EEE0E-7486-4C59-9B2E-E1EEE229A1E7}" destId="{69E74F04-833F-46D0-8907-0ABE05F66690}" srcOrd="0" destOrd="4" presId="urn:microsoft.com/office/officeart/2005/8/layout/hierarchy2"/>
    <dgm:cxn modelId="{F0A59C71-0FCB-4A29-86B0-F97F27AFFCB9}" type="presOf" srcId="{22A4616A-3740-4EF8-A556-6AF933BD5208}" destId="{69E74F04-833F-46D0-8907-0ABE05F66690}" srcOrd="1" destOrd="0" presId="urn:microsoft.com/office/officeart/2005/8/layout/hierarchy2"/>
    <dgm:cxn modelId="{51568EB2-2715-46DF-B08B-B9C21DD8E332}" type="presParOf" srcId="{44F25638-8073-4DA7-9390-5AC06A304565}" destId="{D20D8061-6567-451B-8D75-69BC2A53F3C9}" srcOrd="5" destOrd="1" presId="urn:microsoft.com/office/officeart/2005/8/layout/hierarchy2"/>
    <dgm:cxn modelId="{EA617615-121F-4D7C-84E5-B345DFE8D7AD}" type="presParOf" srcId="{D20D8061-6567-451B-8D75-69BC2A53F3C9}" destId="{0C15749D-0910-449D-A6B7-BD9C98E3EF0A}" srcOrd="0" destOrd="5" presId="urn:microsoft.com/office/officeart/2005/8/layout/hierarchy2"/>
    <dgm:cxn modelId="{BC8BDCA1-4931-48E4-AD7E-0FFBA1A9D3BB}" type="presOf" srcId="{50001047-22C8-460D-8BBB-DCA4F15CC126}" destId="{0C15749D-0910-449D-A6B7-BD9C98E3EF0A}" srcOrd="0" destOrd="0" presId="urn:microsoft.com/office/officeart/2005/8/layout/hierarchy2"/>
    <dgm:cxn modelId="{960BF4C2-2093-4F40-A711-DEC2C6B37E99}" type="presParOf" srcId="{D20D8061-6567-451B-8D75-69BC2A53F3C9}" destId="{FC94C3AA-72B8-43C9-932B-98857469F529}" srcOrd="1" destOrd="5" presId="urn:microsoft.com/office/officeart/2005/8/layout/hierarchy2"/>
    <dgm:cxn modelId="{D34110E4-BD7A-4B9A-9438-D074F405C43B}" type="presParOf" srcId="{FC94C3AA-72B8-43C9-932B-98857469F529}" destId="{C05DB4D3-4BBA-49B9-ADE2-8AA0C8B74F60}" srcOrd="0" destOrd="1" presId="urn:microsoft.com/office/officeart/2005/8/layout/hierarchy2"/>
    <dgm:cxn modelId="{297414B6-6F54-454F-BFF6-9DC619209760}" type="presOf" srcId="{4C72BF22-329D-4AB6-BBE3-70D75634D264}" destId="{C05DB4D3-4BBA-49B9-ADE2-8AA0C8B74F60}" srcOrd="0" destOrd="0" presId="urn:microsoft.com/office/officeart/2005/8/layout/hierarchy2"/>
    <dgm:cxn modelId="{FD3A35B4-F5F7-432B-857A-5D2483E40410}" type="presParOf" srcId="{C05DB4D3-4BBA-49B9-ADE2-8AA0C8B74F60}" destId="{ADC7184B-88DB-4D87-B392-1A2AA28AC64D}" srcOrd="0" destOrd="0" presId="urn:microsoft.com/office/officeart/2005/8/layout/hierarchy2"/>
    <dgm:cxn modelId="{E41AF2A9-6344-4F1B-9518-84927C50824D}" type="presOf" srcId="{4C72BF22-329D-4AB6-BBE3-70D75634D264}" destId="{ADC7184B-88DB-4D87-B392-1A2AA28AC64D}" srcOrd="1" destOrd="0" presId="urn:microsoft.com/office/officeart/2005/8/layout/hierarchy2"/>
    <dgm:cxn modelId="{612B2DF3-63D9-4F6D-B745-73D501CC1B9A}" type="presParOf" srcId="{FC94C3AA-72B8-43C9-932B-98857469F529}" destId="{A6B2C40F-C5F8-4C6F-A44F-A1A8A705EEE2}" srcOrd="1" destOrd="1" presId="urn:microsoft.com/office/officeart/2005/8/layout/hierarchy2"/>
    <dgm:cxn modelId="{1D366EFD-D894-4C73-927E-FD5B04ACBFAC}" type="presParOf" srcId="{A6B2C40F-C5F8-4C6F-A44F-A1A8A705EEE2}" destId="{CB110AA7-91E2-443A-A0E8-121780B44941}" srcOrd="0" destOrd="1" presId="urn:microsoft.com/office/officeart/2005/8/layout/hierarchy2"/>
    <dgm:cxn modelId="{AB6B9114-4F74-4444-BF8C-1495B3D63169}" type="presOf" srcId="{52835F21-38CA-4267-9BB1-39A5A61E2651}" destId="{CB110AA7-91E2-443A-A0E8-121780B44941}" srcOrd="0" destOrd="0" presId="urn:microsoft.com/office/officeart/2005/8/layout/hierarchy2"/>
    <dgm:cxn modelId="{C5DC9D17-9251-47CA-9045-51F52B8D78B6}" type="presParOf" srcId="{A6B2C40F-C5F8-4C6F-A44F-A1A8A705EEE2}" destId="{8B9FCB40-2E0A-4565-9F5B-A4FD6A173975}" srcOrd="1" destOrd="1" presId="urn:microsoft.com/office/officeart/2005/8/layout/hierarchy2"/>
    <dgm:cxn modelId="{34C227C3-6F24-45FB-8485-66132FEAC936}" type="presParOf" srcId="{8B9FCB40-2E0A-4565-9F5B-A4FD6A173975}" destId="{862F12EC-3C7D-4E31-86BD-47AE065C1747}" srcOrd="0" destOrd="1" presId="urn:microsoft.com/office/officeart/2005/8/layout/hierarchy2"/>
    <dgm:cxn modelId="{E4C16EAC-68B7-46B9-BA41-547433008776}" type="presOf" srcId="{07D21172-0D7B-4904-8924-2BFE62686545}" destId="{862F12EC-3C7D-4E31-86BD-47AE065C1747}" srcOrd="0" destOrd="0" presId="urn:microsoft.com/office/officeart/2005/8/layout/hierarchy2"/>
    <dgm:cxn modelId="{FE54EAE3-ED9A-40C1-A019-689387221B60}" type="presParOf" srcId="{862F12EC-3C7D-4E31-86BD-47AE065C1747}" destId="{D86BD6E0-5F16-44B5-96A3-AB88648C3CC1}" srcOrd="0" destOrd="0" presId="urn:microsoft.com/office/officeart/2005/8/layout/hierarchy2"/>
    <dgm:cxn modelId="{A91DA0A1-0784-4E65-95F7-817B74AC51FF}" type="presOf" srcId="{07D21172-0D7B-4904-8924-2BFE62686545}" destId="{D86BD6E0-5F16-44B5-96A3-AB88648C3CC1}" srcOrd="1" destOrd="0" presId="urn:microsoft.com/office/officeart/2005/8/layout/hierarchy2"/>
    <dgm:cxn modelId="{F70AAB7A-04F9-4EF9-82E0-5BD2DD739464}" type="presParOf" srcId="{8B9FCB40-2E0A-4565-9F5B-A4FD6A173975}" destId="{08B84CE7-45C5-4ED3-B133-537FDC45C3C6}" srcOrd="1" destOrd="1" presId="urn:microsoft.com/office/officeart/2005/8/layout/hierarchy2"/>
    <dgm:cxn modelId="{802E772E-2F5B-447E-AEC8-3409780ADBE6}" type="presParOf" srcId="{08B84CE7-45C5-4ED3-B133-537FDC45C3C6}" destId="{01E7C100-9A8D-4181-9E5D-0041BC5BA078}" srcOrd="0" destOrd="1" presId="urn:microsoft.com/office/officeart/2005/8/layout/hierarchy2"/>
    <dgm:cxn modelId="{A1580B59-2881-4B03-BF0F-AAF02EA2C59C}" type="presOf" srcId="{77AC4EDE-A0BE-418C-B5C7-7B6C52AE3B98}" destId="{01E7C100-9A8D-4181-9E5D-0041BC5BA078}" srcOrd="0" destOrd="0" presId="urn:microsoft.com/office/officeart/2005/8/layout/hierarchy2"/>
    <dgm:cxn modelId="{5F6F9985-E452-4ADF-95CF-5551ADF7802E}" type="presParOf" srcId="{08B84CE7-45C5-4ED3-B133-537FDC45C3C6}" destId="{241871A5-A46F-4580-B3CB-AABA37C91124}" srcOrd="1" destOrd="1" presId="urn:microsoft.com/office/officeart/2005/8/layout/hierarchy2"/>
    <dgm:cxn modelId="{D813A2FD-5DC1-4D8D-BF6C-15057390506D}" type="presParOf" srcId="{FC94C3AA-72B8-43C9-932B-98857469F529}" destId="{C61F1509-F9F4-4294-82E3-D831D8F516C9}" srcOrd="2" destOrd="1" presId="urn:microsoft.com/office/officeart/2005/8/layout/hierarchy2"/>
    <dgm:cxn modelId="{08A450BB-613C-4780-944A-9F2C5089202B}" type="presOf" srcId="{405FF5B0-7738-4C43-8AB3-982CF7FE8A2C}" destId="{C61F1509-F9F4-4294-82E3-D831D8F516C9}" srcOrd="0" destOrd="0" presId="urn:microsoft.com/office/officeart/2005/8/layout/hierarchy2"/>
    <dgm:cxn modelId="{B62635BC-F2F1-4FD4-BA7F-7F9CC22FBFA2}" type="presParOf" srcId="{C61F1509-F9F4-4294-82E3-D831D8F516C9}" destId="{FB6DA7D6-4E41-4055-9FE2-F934B14A9EBA}" srcOrd="0" destOrd="2" presId="urn:microsoft.com/office/officeart/2005/8/layout/hierarchy2"/>
    <dgm:cxn modelId="{93389C4B-418B-4A18-8A59-AC44E9E19FE6}" type="presOf" srcId="{405FF5B0-7738-4C43-8AB3-982CF7FE8A2C}" destId="{FB6DA7D6-4E41-4055-9FE2-F934B14A9EBA}" srcOrd="1" destOrd="0" presId="urn:microsoft.com/office/officeart/2005/8/layout/hierarchy2"/>
    <dgm:cxn modelId="{8DF8AF5E-6D1F-4A43-8E99-3B6608AF5AD2}" type="presParOf" srcId="{FC94C3AA-72B8-43C9-932B-98857469F529}" destId="{5AB83A7E-3D92-4223-A0FB-4D7E28446021}" srcOrd="3" destOrd="1" presId="urn:microsoft.com/office/officeart/2005/8/layout/hierarchy2"/>
    <dgm:cxn modelId="{65F8B4E4-BBD4-4401-B964-E4FB50D5A133}" type="presParOf" srcId="{5AB83A7E-3D92-4223-A0FB-4D7E28446021}" destId="{A1CA06D3-CCDE-4C76-BA3E-DD43BAE88B86}" srcOrd="0" destOrd="3" presId="urn:microsoft.com/office/officeart/2005/8/layout/hierarchy2"/>
    <dgm:cxn modelId="{5DD9147F-CC82-4217-9FE3-9BCE940A1AE3}" type="presOf" srcId="{AA9F1E84-05DD-422D-8F7A-E136DDD3E406}" destId="{A1CA06D3-CCDE-4C76-BA3E-DD43BAE88B86}" srcOrd="0" destOrd="0" presId="urn:microsoft.com/office/officeart/2005/8/layout/hierarchy2"/>
    <dgm:cxn modelId="{5263E32D-823B-4C40-977C-C741AEDCC366}" type="presParOf" srcId="{5AB83A7E-3D92-4223-A0FB-4D7E28446021}" destId="{A82F8B1F-F8C7-41CD-99E4-9B64012C4330}" srcOrd="1" destOrd="3" presId="urn:microsoft.com/office/officeart/2005/8/layout/hierarchy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3188335" cy="1854835"/>
        <a:chOff x="0" y="0"/>
        <a:chExt cx="3188335" cy="1854835"/>
      </a:xfrm>
    </dsp:grpSpPr>
    <dsp:sp modelId="{24E3F4AB-32FB-4CE0-9DAC-FC4DD26B5900}">
      <dsp:nvSpPr>
        <dsp:cNvPr id="3" name="圆角矩形 2"/>
        <dsp:cNvSpPr/>
      </dsp:nvSpPr>
      <dsp:spPr bwMode="white">
        <a:xfrm>
          <a:off x="373263" y="877525"/>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ltLang="en-US">
              <a:solidFill>
                <a:schemeClr val="dk2"/>
              </a:solidFill>
            </a:rPr>
            <a:t>分类</a:t>
          </a:r>
          <a:endParaRPr lang="zh-CN" altLang="en-US">
            <a:solidFill>
              <a:schemeClr val="dk2"/>
            </a:solidFill>
          </a:endParaRPr>
        </a:p>
      </dsp:txBody>
      <dsp:txXfrm>
        <a:off x="373263" y="877525"/>
        <a:ext cx="469578" cy="234789"/>
      </dsp:txXfrm>
    </dsp:sp>
    <dsp:sp modelId="{B47BD6C9-6D53-4A69-975F-9CF96E25F10F}">
      <dsp:nvSpPr>
        <dsp:cNvPr id="4" name="任意多边形 3"/>
        <dsp:cNvSpPr/>
      </dsp:nvSpPr>
      <dsp:spPr bwMode="white">
        <a:xfrm>
          <a:off x="618812" y="679768"/>
          <a:ext cx="635891" cy="22785"/>
        </a:xfrm>
        <a:custGeom>
          <a:avLst/>
          <a:gdLst/>
          <a:ahLst/>
          <a:cxnLst/>
          <a:pathLst>
            <a:path w="1001" h="36">
              <a:moveTo>
                <a:pt x="353" y="496"/>
              </a:moveTo>
              <a:lnTo>
                <a:pt x="649" y="-460"/>
              </a:lnTo>
            </a:path>
          </a:pathLst>
        </a:custGeom>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2"/>
            </a:solidFill>
          </a:endParaRPr>
        </a:p>
      </dsp:txBody>
      <dsp:txXfrm>
        <a:off x="618812" y="679768"/>
        <a:ext cx="635891" cy="22785"/>
      </dsp:txXfrm>
    </dsp:sp>
    <dsp:sp modelId="{3C0D5057-54F2-42F8-ADAD-AA27A1CC1A1B}">
      <dsp:nvSpPr>
        <dsp:cNvPr id="5" name="圆角矩形 4"/>
        <dsp:cNvSpPr/>
      </dsp:nvSpPr>
      <dsp:spPr bwMode="white">
        <a:xfrm>
          <a:off x="1030673" y="270008"/>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ltLang="en-US">
              <a:solidFill>
                <a:schemeClr val="dk2"/>
              </a:solidFill>
            </a:rPr>
            <a:t>储备资产</a:t>
          </a:r>
          <a:r>
            <a:rPr lang="zh-CN" altLang="en-US">
              <a:solidFill>
                <a:schemeClr val="dk2"/>
              </a:solidFill>
            </a:rPr>
            <a:t>的</a:t>
          </a:r>
          <a:r>
            <a:rPr lang="zh-CN" altLang="en-US">
              <a:solidFill>
                <a:schemeClr val="dk2"/>
              </a:solidFill>
            </a:rPr>
            <a:t>保有</a:t>
          </a:r>
          <a:r>
            <a:rPr lang="zh-CN" altLang="en-US">
              <a:solidFill>
                <a:schemeClr val="dk2"/>
              </a:solidFill>
            </a:rPr>
            <a:t>形式</a:t>
          </a:r>
          <a:endParaRPr lang="zh-CN" altLang="en-US">
            <a:solidFill>
              <a:schemeClr val="dk2"/>
            </a:solidFill>
          </a:endParaRPr>
        </a:p>
      </dsp:txBody>
      <dsp:txXfrm>
        <a:off x="1030673" y="270008"/>
        <a:ext cx="469578" cy="234789"/>
      </dsp:txXfrm>
    </dsp:sp>
    <dsp:sp modelId="{FA61825B-C877-4D42-AAFB-0586288A9783}">
      <dsp:nvSpPr>
        <dsp:cNvPr id="6" name="任意多边形 5"/>
        <dsp:cNvSpPr/>
      </dsp:nvSpPr>
      <dsp:spPr bwMode="white">
        <a:xfrm>
          <a:off x="1429710" y="241006"/>
          <a:ext cx="328915" cy="22785"/>
        </a:xfrm>
        <a:custGeom>
          <a:avLst/>
          <a:gdLst/>
          <a:ahLst/>
          <a:cxnLst/>
          <a:pathLst>
            <a:path w="518" h="36">
              <a:moveTo>
                <a:pt x="111" y="231"/>
              </a:moveTo>
              <a:lnTo>
                <a:pt x="407" y="-195"/>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2"/>
            </a:solidFill>
          </a:endParaRPr>
        </a:p>
      </dsp:txBody>
      <dsp:txXfrm>
        <a:off x="1429710" y="241006"/>
        <a:ext cx="328915" cy="22785"/>
      </dsp:txXfrm>
    </dsp:sp>
    <dsp:sp modelId="{63712EDC-9AF8-41BC-8F72-ADF8D554FF07}">
      <dsp:nvSpPr>
        <dsp:cNvPr id="7" name="圆角矩形 6"/>
        <dsp:cNvSpPr/>
      </dsp:nvSpPr>
      <dsp:spPr bwMode="white">
        <a:xfrm>
          <a:off x="1688083" y="0"/>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ltLang="en-US">
              <a:solidFill>
                <a:schemeClr val="dk2"/>
              </a:solidFill>
            </a:rPr>
            <a:t>金本位制度</a:t>
          </a:r>
          <a:endParaRPr lang="zh-CN" altLang="en-US">
            <a:solidFill>
              <a:schemeClr val="dk2"/>
            </a:solidFill>
          </a:endParaRPr>
        </a:p>
      </dsp:txBody>
      <dsp:txXfrm>
        <a:off x="1688083" y="0"/>
        <a:ext cx="469578" cy="234789"/>
      </dsp:txXfrm>
    </dsp:sp>
    <dsp:sp modelId="{E81582B1-A130-479F-ACE3-61EF727591CE}">
      <dsp:nvSpPr>
        <dsp:cNvPr id="8" name="任意多边形 7"/>
        <dsp:cNvSpPr/>
      </dsp:nvSpPr>
      <dsp:spPr bwMode="white">
        <a:xfrm>
          <a:off x="1500252" y="376010"/>
          <a:ext cx="187831" cy="22785"/>
        </a:xfrm>
        <a:custGeom>
          <a:avLst/>
          <a:gdLst/>
          <a:ahLst/>
          <a:cxnLst/>
          <a:pathLst>
            <a:path w="296" h="36">
              <a:moveTo>
                <a:pt x="0" y="18"/>
              </a:moveTo>
              <a:lnTo>
                <a:pt x="296" y="18"/>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2"/>
            </a:solidFill>
          </a:endParaRPr>
        </a:p>
      </dsp:txBody>
      <dsp:txXfrm>
        <a:off x="1500252" y="376010"/>
        <a:ext cx="187831" cy="22785"/>
      </dsp:txXfrm>
    </dsp:sp>
    <dsp:sp modelId="{29F748CF-C0E7-4DEA-B3A3-0E8AEB5CA964}">
      <dsp:nvSpPr>
        <dsp:cNvPr id="9" name="圆角矩形 8"/>
        <dsp:cNvSpPr/>
      </dsp:nvSpPr>
      <dsp:spPr bwMode="white">
        <a:xfrm>
          <a:off x="1688083" y="270008"/>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ltLang="en-US">
              <a:solidFill>
                <a:schemeClr val="dk2"/>
              </a:solidFill>
            </a:rPr>
            <a:t>金汇兑</a:t>
          </a:r>
          <a:r>
            <a:rPr lang="zh-CN" altLang="en-US">
              <a:solidFill>
                <a:schemeClr val="dk2"/>
              </a:solidFill>
            </a:rPr>
            <a:t>本位</a:t>
          </a:r>
          <a:r>
            <a:rPr lang="zh-CN" altLang="en-US">
              <a:solidFill>
                <a:schemeClr val="dk2"/>
              </a:solidFill>
            </a:rPr>
            <a:t>制度</a:t>
          </a:r>
          <a:endParaRPr lang="zh-CN" altLang="en-US">
            <a:solidFill>
              <a:schemeClr val="dk2"/>
            </a:solidFill>
          </a:endParaRPr>
        </a:p>
      </dsp:txBody>
      <dsp:txXfrm>
        <a:off x="1688083" y="270008"/>
        <a:ext cx="469578" cy="234789"/>
      </dsp:txXfrm>
    </dsp:sp>
    <dsp:sp modelId="{6DA2F3A6-9C84-4FEA-86B3-75F9BF110D8A}">
      <dsp:nvSpPr>
        <dsp:cNvPr id="10" name="任意多边形 9"/>
        <dsp:cNvSpPr/>
      </dsp:nvSpPr>
      <dsp:spPr bwMode="white">
        <a:xfrm>
          <a:off x="1429710" y="511014"/>
          <a:ext cx="328915" cy="22785"/>
        </a:xfrm>
        <a:custGeom>
          <a:avLst/>
          <a:gdLst/>
          <a:ahLst/>
          <a:cxnLst/>
          <a:pathLst>
            <a:path w="518" h="36">
              <a:moveTo>
                <a:pt x="111" y="-195"/>
              </a:moveTo>
              <a:lnTo>
                <a:pt x="407" y="231"/>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a:solidFill>
              <a:schemeClr val="dk2"/>
            </a:solidFill>
          </a:endParaRPr>
        </a:p>
      </dsp:txBody>
      <dsp:txXfrm>
        <a:off x="1429710" y="511014"/>
        <a:ext cx="328915" cy="22785"/>
      </dsp:txXfrm>
    </dsp:sp>
    <dsp:sp modelId="{E1B212BC-2675-4BA0-95BC-512335F039D5}">
      <dsp:nvSpPr>
        <dsp:cNvPr id="11" name="圆角矩形 10"/>
        <dsp:cNvSpPr/>
      </dsp:nvSpPr>
      <dsp:spPr bwMode="white">
        <a:xfrm>
          <a:off x="1688083" y="540015"/>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solidFill>
                <a:schemeClr val="dk2"/>
              </a:solidFill>
            </a:rPr>
            <a:t>信用</a:t>
          </a:r>
          <a:r>
            <a:rPr lang="zh-CN">
              <a:solidFill>
                <a:schemeClr val="dk2"/>
              </a:solidFill>
            </a:rPr>
            <a:t>货币</a:t>
          </a:r>
          <a:r>
            <a:rPr lang="zh-CN">
              <a:solidFill>
                <a:schemeClr val="dk2"/>
              </a:solidFill>
            </a:rPr>
            <a:t>本位</a:t>
          </a:r>
          <a:r>
            <a:rPr lang="zh-CN">
              <a:solidFill>
                <a:schemeClr val="dk2"/>
              </a:solidFill>
            </a:rPr>
            <a:t>制度</a:t>
          </a:r>
          <a:endParaRPr altLang="en-US">
            <a:solidFill>
              <a:schemeClr val="dk2"/>
            </a:solidFill>
          </a:endParaRPr>
        </a:p>
      </dsp:txBody>
      <dsp:txXfrm>
        <a:off x="1688083" y="540015"/>
        <a:ext cx="469578" cy="234789"/>
      </dsp:txXfrm>
    </dsp:sp>
    <dsp:sp modelId="{2E81B90F-7494-41FF-808F-F7F82B993B40}">
      <dsp:nvSpPr>
        <dsp:cNvPr id="12" name="任意多边形 11"/>
        <dsp:cNvSpPr/>
      </dsp:nvSpPr>
      <dsp:spPr bwMode="white">
        <a:xfrm>
          <a:off x="836961" y="1017278"/>
          <a:ext cx="199592" cy="22785"/>
        </a:xfrm>
        <a:custGeom>
          <a:avLst/>
          <a:gdLst/>
          <a:ahLst/>
          <a:cxnLst/>
          <a:pathLst>
            <a:path w="314" h="36">
              <a:moveTo>
                <a:pt x="9" y="-35"/>
              </a:moveTo>
              <a:lnTo>
                <a:pt x="305" y="71"/>
              </a:lnTo>
            </a:path>
          </a:pathLst>
        </a:custGeom>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2"/>
            </a:solidFill>
          </a:endParaRPr>
        </a:p>
      </dsp:txBody>
      <dsp:txXfrm>
        <a:off x="836961" y="1017278"/>
        <a:ext cx="199592" cy="22785"/>
      </dsp:txXfrm>
    </dsp:sp>
    <dsp:sp modelId="{3D382021-A429-4403-82FF-5A95DD3EBB20}">
      <dsp:nvSpPr>
        <dsp:cNvPr id="13" name="圆角矩形 12"/>
        <dsp:cNvSpPr/>
      </dsp:nvSpPr>
      <dsp:spPr bwMode="white">
        <a:xfrm>
          <a:off x="1030673" y="945027"/>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ltLang="en-US">
              <a:solidFill>
                <a:schemeClr val="dk2"/>
              </a:solidFill>
            </a:rPr>
            <a:t>汇率</a:t>
          </a:r>
          <a:r>
            <a:rPr lang="zh-CN" altLang="en-US">
              <a:solidFill>
                <a:schemeClr val="dk2"/>
              </a:solidFill>
            </a:rPr>
            <a:t>制度</a:t>
          </a:r>
          <a:endParaRPr lang="zh-CN" altLang="en-US">
            <a:solidFill>
              <a:schemeClr val="dk2"/>
            </a:solidFill>
          </a:endParaRPr>
        </a:p>
      </dsp:txBody>
      <dsp:txXfrm>
        <a:off x="1030673" y="945027"/>
        <a:ext cx="469578" cy="234789"/>
      </dsp:txXfrm>
    </dsp:sp>
    <dsp:sp modelId="{B68D4CB7-ED76-4EEE-B7F0-455597F5F947}">
      <dsp:nvSpPr>
        <dsp:cNvPr id="14" name="任意多边形 13"/>
        <dsp:cNvSpPr/>
      </dsp:nvSpPr>
      <dsp:spPr bwMode="white">
        <a:xfrm>
          <a:off x="1478510" y="983527"/>
          <a:ext cx="231315" cy="22785"/>
        </a:xfrm>
        <a:custGeom>
          <a:avLst/>
          <a:gdLst/>
          <a:ahLst/>
          <a:cxnLst/>
          <a:pathLst>
            <a:path w="364" h="36">
              <a:moveTo>
                <a:pt x="34" y="124"/>
              </a:moveTo>
              <a:lnTo>
                <a:pt x="330" y="-88"/>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lang="zh-CN" altLang="en-US">
            <a:solidFill>
              <a:schemeClr val="dk2"/>
            </a:solidFill>
          </a:endParaRPr>
        </a:p>
      </dsp:txBody>
      <dsp:txXfrm>
        <a:off x="1478510" y="983527"/>
        <a:ext cx="231315" cy="22785"/>
      </dsp:txXfrm>
    </dsp:sp>
    <dsp:sp modelId="{402901F7-4C4B-47C4-BE12-824FDFB99F9B}">
      <dsp:nvSpPr>
        <dsp:cNvPr id="15" name="圆角矩形 14"/>
        <dsp:cNvSpPr/>
      </dsp:nvSpPr>
      <dsp:spPr bwMode="white">
        <a:xfrm>
          <a:off x="1688083" y="810023"/>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ltLang="en-US">
              <a:solidFill>
                <a:schemeClr val="dk2"/>
              </a:solidFill>
            </a:rPr>
            <a:t>固定汇率制度</a:t>
          </a:r>
          <a:endParaRPr lang="zh-CN" altLang="en-US">
            <a:solidFill>
              <a:schemeClr val="dk2"/>
            </a:solidFill>
          </a:endParaRPr>
        </a:p>
      </dsp:txBody>
      <dsp:txXfrm>
        <a:off x="1688083" y="810023"/>
        <a:ext cx="469578" cy="234789"/>
      </dsp:txXfrm>
    </dsp:sp>
    <dsp:sp modelId="{362AAE98-1668-4E0B-A290-E52E8E8ABAD9}">
      <dsp:nvSpPr>
        <dsp:cNvPr id="16" name="任意多边形 15"/>
        <dsp:cNvSpPr/>
      </dsp:nvSpPr>
      <dsp:spPr bwMode="white">
        <a:xfrm>
          <a:off x="1478510" y="1118531"/>
          <a:ext cx="231315" cy="22785"/>
        </a:xfrm>
        <a:custGeom>
          <a:avLst/>
          <a:gdLst/>
          <a:ahLst/>
          <a:cxnLst/>
          <a:pathLst>
            <a:path w="364" h="36">
              <a:moveTo>
                <a:pt x="34" y="-88"/>
              </a:moveTo>
              <a:lnTo>
                <a:pt x="330" y="124"/>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a:solidFill>
              <a:schemeClr val="dk2"/>
            </a:solidFill>
          </a:endParaRPr>
        </a:p>
      </dsp:txBody>
      <dsp:txXfrm>
        <a:off x="1478510" y="1118531"/>
        <a:ext cx="231315" cy="22785"/>
      </dsp:txXfrm>
    </dsp:sp>
    <dsp:sp modelId="{186E390E-5FCE-41C4-99C3-98EDD90EB0D6}">
      <dsp:nvSpPr>
        <dsp:cNvPr id="17" name="圆角矩形 16"/>
        <dsp:cNvSpPr/>
      </dsp:nvSpPr>
      <dsp:spPr bwMode="white">
        <a:xfrm>
          <a:off x="1688083" y="1080031"/>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solidFill>
                <a:schemeClr val="dk2"/>
              </a:solidFill>
            </a:rPr>
            <a:t>浮动</a:t>
          </a:r>
          <a:r>
            <a:rPr lang="zh-CN">
              <a:solidFill>
                <a:schemeClr val="dk2"/>
              </a:solidFill>
            </a:rPr>
            <a:t>汇率</a:t>
          </a:r>
          <a:r>
            <a:rPr lang="zh-CN">
              <a:solidFill>
                <a:schemeClr val="dk2"/>
              </a:solidFill>
            </a:rPr>
            <a:t>制度</a:t>
          </a:r>
          <a:endParaRPr altLang="en-US">
            <a:solidFill>
              <a:schemeClr val="dk2"/>
            </a:solidFill>
          </a:endParaRPr>
        </a:p>
      </dsp:txBody>
      <dsp:txXfrm>
        <a:off x="1688083" y="1080031"/>
        <a:ext cx="469578" cy="234789"/>
      </dsp:txXfrm>
    </dsp:sp>
    <dsp:sp modelId="{1C0EEE0E-7486-4C59-9B2E-E1EEE229A1E7}">
      <dsp:nvSpPr>
        <dsp:cNvPr id="18" name="任意多边形 17"/>
        <dsp:cNvSpPr/>
      </dsp:nvSpPr>
      <dsp:spPr bwMode="white">
        <a:xfrm>
          <a:off x="618812" y="1287286"/>
          <a:ext cx="635891" cy="22785"/>
        </a:xfrm>
        <a:custGeom>
          <a:avLst/>
          <a:gdLst/>
          <a:ahLst/>
          <a:cxnLst/>
          <a:pathLst>
            <a:path w="1001" h="36">
              <a:moveTo>
                <a:pt x="353" y="-460"/>
              </a:moveTo>
              <a:lnTo>
                <a:pt x="649" y="496"/>
              </a:lnTo>
            </a:path>
          </a:pathLst>
        </a:custGeom>
      </dsp:spPr>
      <dsp:style>
        <a:lnRef idx="2">
          <a:schemeClr val="dk2">
            <a:shade val="6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a:solidFill>
              <a:schemeClr val="dk2"/>
            </a:solidFill>
          </a:endParaRPr>
        </a:p>
      </dsp:txBody>
      <dsp:txXfrm>
        <a:off x="618812" y="1287286"/>
        <a:ext cx="635891" cy="22785"/>
      </dsp:txXfrm>
    </dsp:sp>
    <dsp:sp modelId="{0C15749D-0910-449D-A6B7-BD9C98E3EF0A}">
      <dsp:nvSpPr>
        <dsp:cNvPr id="19" name="圆角矩形 18"/>
        <dsp:cNvSpPr/>
      </dsp:nvSpPr>
      <dsp:spPr bwMode="white">
        <a:xfrm>
          <a:off x="1030673" y="1485042"/>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solidFill>
                <a:schemeClr val="dk2"/>
              </a:solidFill>
            </a:rPr>
            <a:t>储备</a:t>
          </a:r>
          <a:r>
            <a:rPr lang="en-US" altLang="zh-CN">
              <a:solidFill>
                <a:schemeClr val="dk2"/>
              </a:solidFill>
            </a:rPr>
            <a:t>+</a:t>
          </a:r>
          <a:r>
            <a:rPr lang="zh-CN" altLang="en-US">
              <a:solidFill>
                <a:schemeClr val="dk2"/>
              </a:solidFill>
            </a:rPr>
            <a:t>汇率</a:t>
          </a:r>
          <a:endParaRPr lang="en-US" altLang="zh-CN">
            <a:solidFill>
              <a:schemeClr val="dk2"/>
            </a:solidFill>
          </a:endParaRPr>
        </a:p>
      </dsp:txBody>
      <dsp:txXfrm>
        <a:off x="1030673" y="1485042"/>
        <a:ext cx="469578" cy="234789"/>
      </dsp:txXfrm>
    </dsp:sp>
    <dsp:sp modelId="{C05DB4D3-4BBA-49B9-ADE2-8AA0C8B74F60}">
      <dsp:nvSpPr>
        <dsp:cNvPr id="20" name="任意多边形 19"/>
        <dsp:cNvSpPr/>
      </dsp:nvSpPr>
      <dsp:spPr bwMode="white">
        <a:xfrm>
          <a:off x="1478510" y="1523542"/>
          <a:ext cx="231315" cy="22785"/>
        </a:xfrm>
        <a:custGeom>
          <a:avLst/>
          <a:gdLst/>
          <a:ahLst/>
          <a:cxnLst/>
          <a:pathLst>
            <a:path w="364" h="36">
              <a:moveTo>
                <a:pt x="34" y="124"/>
              </a:moveTo>
              <a:lnTo>
                <a:pt x="330" y="-88"/>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a:solidFill>
              <a:schemeClr val="dk2"/>
            </a:solidFill>
          </a:endParaRPr>
        </a:p>
      </dsp:txBody>
      <dsp:txXfrm>
        <a:off x="1478510" y="1523542"/>
        <a:ext cx="231315" cy="22785"/>
      </dsp:txXfrm>
    </dsp:sp>
    <dsp:sp modelId="{CB110AA7-91E2-443A-A0E8-121780B44941}">
      <dsp:nvSpPr>
        <dsp:cNvPr id="21" name="圆角矩形 20"/>
        <dsp:cNvSpPr/>
      </dsp:nvSpPr>
      <dsp:spPr bwMode="white">
        <a:xfrm>
          <a:off x="1688083" y="1350038"/>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solidFill>
                <a:schemeClr val="dk2"/>
              </a:solidFill>
            </a:rPr>
            <a:t>金本</a:t>
          </a:r>
          <a:r>
            <a:rPr lang="zh-CN">
              <a:solidFill>
                <a:schemeClr val="dk2"/>
              </a:solidFill>
            </a:rPr>
            <a:t>位</a:t>
          </a:r>
          <a:r>
            <a:rPr lang="zh-CN">
              <a:solidFill>
                <a:schemeClr val="dk2"/>
              </a:solidFill>
            </a:rPr>
            <a:t>币</a:t>
          </a:r>
          <a:r>
            <a:rPr lang="zh-CN">
              <a:solidFill>
                <a:schemeClr val="dk2"/>
              </a:solidFill>
            </a:rPr>
            <a:t>制度</a:t>
          </a:r>
          <a:r>
            <a:rPr lang="zh-CN">
              <a:solidFill>
                <a:schemeClr val="dk2"/>
              </a:solidFill>
            </a:rPr>
            <a:t>下</a:t>
          </a:r>
          <a:r>
            <a:rPr lang="zh-CN">
              <a:solidFill>
                <a:schemeClr val="dk2"/>
              </a:solidFill>
            </a:rPr>
            <a:t>固定</a:t>
          </a:r>
          <a:r>
            <a:rPr lang="zh-CN">
              <a:solidFill>
                <a:schemeClr val="dk2"/>
              </a:solidFill>
            </a:rPr>
            <a:t>汇率</a:t>
          </a:r>
          <a:r>
            <a:rPr lang="zh-CN">
              <a:solidFill>
                <a:schemeClr val="dk2"/>
              </a:solidFill>
            </a:rPr>
            <a:t>制度</a:t>
          </a:r>
          <a:endParaRPr altLang="en-US">
            <a:solidFill>
              <a:schemeClr val="dk2"/>
            </a:solidFill>
          </a:endParaRPr>
        </a:p>
      </dsp:txBody>
      <dsp:txXfrm>
        <a:off x="1688083" y="1350038"/>
        <a:ext cx="469578" cy="234789"/>
      </dsp:txXfrm>
    </dsp:sp>
    <dsp:sp modelId="{862F12EC-3C7D-4E31-86BD-47AE065C1747}">
      <dsp:nvSpPr>
        <dsp:cNvPr id="22" name="任意多边形 21"/>
        <dsp:cNvSpPr/>
      </dsp:nvSpPr>
      <dsp:spPr bwMode="white">
        <a:xfrm>
          <a:off x="2157662" y="1456040"/>
          <a:ext cx="187831" cy="22785"/>
        </a:xfrm>
        <a:custGeom>
          <a:avLst/>
          <a:gdLst/>
          <a:ahLst/>
          <a:cxnLst/>
          <a:pathLst>
            <a:path w="296" h="36">
              <a:moveTo>
                <a:pt x="0" y="18"/>
              </a:moveTo>
              <a:lnTo>
                <a:pt x="296" y="18"/>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a:solidFill>
              <a:schemeClr val="dk2"/>
            </a:solidFill>
          </a:endParaRPr>
        </a:p>
      </dsp:txBody>
      <dsp:txXfrm>
        <a:off x="2157662" y="1456040"/>
        <a:ext cx="187831" cy="22785"/>
      </dsp:txXfrm>
    </dsp:sp>
    <dsp:sp modelId="{01E7C100-9A8D-4181-9E5D-0041BC5BA078}">
      <dsp:nvSpPr>
        <dsp:cNvPr id="23" name="圆角矩形 22"/>
        <dsp:cNvSpPr/>
      </dsp:nvSpPr>
      <dsp:spPr bwMode="white">
        <a:xfrm>
          <a:off x="2345493" y="1350038"/>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solidFill>
                <a:schemeClr val="dk2"/>
              </a:solidFill>
            </a:rPr>
            <a:t>价格</a:t>
          </a:r>
          <a:r>
            <a:rPr lang="zh-CN">
              <a:solidFill>
                <a:schemeClr val="dk2"/>
              </a:solidFill>
            </a:rPr>
            <a:t>铸币</a:t>
          </a:r>
          <a:r>
            <a:rPr lang="zh-CN">
              <a:solidFill>
                <a:schemeClr val="dk2"/>
              </a:solidFill>
            </a:rPr>
            <a:t>流动</a:t>
          </a:r>
          <a:r>
            <a:rPr lang="zh-CN">
              <a:solidFill>
                <a:schemeClr val="dk2"/>
              </a:solidFill>
            </a:rPr>
            <a:t>机制</a:t>
          </a:r>
          <a:endParaRPr lang="en-US" altLang="zh-CN">
            <a:solidFill>
              <a:schemeClr val="dk2"/>
            </a:solidFill>
          </a:endParaRPr>
        </a:p>
      </dsp:txBody>
      <dsp:txXfrm>
        <a:off x="2345493" y="1350038"/>
        <a:ext cx="469578" cy="234789"/>
      </dsp:txXfrm>
    </dsp:sp>
    <dsp:sp modelId="{C61F1509-F9F4-4294-82E3-D831D8F516C9}">
      <dsp:nvSpPr>
        <dsp:cNvPr id="24" name="任意多边形 23"/>
        <dsp:cNvSpPr/>
      </dsp:nvSpPr>
      <dsp:spPr bwMode="white">
        <a:xfrm>
          <a:off x="1478510" y="1658546"/>
          <a:ext cx="231315" cy="22785"/>
        </a:xfrm>
        <a:custGeom>
          <a:avLst/>
          <a:gdLst/>
          <a:ahLst/>
          <a:cxnLst/>
          <a:pathLst>
            <a:path w="364" h="36">
              <a:moveTo>
                <a:pt x="34" y="-88"/>
              </a:moveTo>
              <a:lnTo>
                <a:pt x="330" y="124"/>
              </a:lnTo>
            </a:path>
          </a:pathLst>
        </a:custGeom>
      </dsp:spPr>
      <dsp:style>
        <a:lnRef idx="2">
          <a:schemeClr val="dk2">
            <a:shade val="80000"/>
          </a:schemeClr>
        </a:lnRef>
        <a:fillRef idx="0">
          <a:schemeClr val="dk2"/>
        </a:fillRef>
        <a:effectRef idx="0">
          <a:scrgbClr r="0" g="0" b="0"/>
        </a:effectRef>
        <a:fontRef idx="minor"/>
      </dsp:style>
      <dsp:txBody>
        <a:bodyPr lIns="12700" tIns="0" rIns="12700" bIns="0" anchor="ctr"/>
        <a:lstStyle>
          <a:lvl1pPr algn="ctr">
            <a:defRPr sz="500"/>
          </a:lvl1pPr>
          <a:lvl2pPr marL="57150" indent="-57150" algn="ctr">
            <a:defRPr sz="400"/>
          </a:lvl2pPr>
          <a:lvl3pPr marL="114300" indent="-57150" algn="ctr">
            <a:defRPr sz="400"/>
          </a:lvl3pPr>
          <a:lvl4pPr marL="171450" indent="-57150" algn="ctr">
            <a:defRPr sz="400"/>
          </a:lvl4pPr>
          <a:lvl5pPr marL="228600" indent="-57150" algn="ctr">
            <a:defRPr sz="400"/>
          </a:lvl5pPr>
          <a:lvl6pPr marL="285750" indent="-57150" algn="ctr">
            <a:defRPr sz="400"/>
          </a:lvl6pPr>
          <a:lvl7pPr marL="342900" indent="-57150" algn="ctr">
            <a:defRPr sz="400"/>
          </a:lvl7pPr>
          <a:lvl8pPr marL="400050" indent="-57150" algn="ctr">
            <a:defRPr sz="400"/>
          </a:lvl8pPr>
          <a:lvl9pPr marL="457200" indent="-57150" algn="ctr">
            <a:defRPr sz="400"/>
          </a:lvl9pPr>
        </a:lstStyle>
        <a:p>
          <a:pPr lvl="0">
            <a:lnSpc>
              <a:spcPct val="100000"/>
            </a:lnSpc>
            <a:spcBef>
              <a:spcPct val="0"/>
            </a:spcBef>
            <a:spcAft>
              <a:spcPct val="35000"/>
            </a:spcAft>
          </a:pPr>
          <a:endParaRPr>
            <a:solidFill>
              <a:schemeClr val="dk2"/>
            </a:solidFill>
          </a:endParaRPr>
        </a:p>
      </dsp:txBody>
      <dsp:txXfrm>
        <a:off x="1478510" y="1658546"/>
        <a:ext cx="231315" cy="22785"/>
      </dsp:txXfrm>
    </dsp:sp>
    <dsp:sp modelId="{A1CA06D3-CCDE-4C76-BA3E-DD43BAE88B86}">
      <dsp:nvSpPr>
        <dsp:cNvPr id="25" name="圆角矩形 24"/>
        <dsp:cNvSpPr/>
      </dsp:nvSpPr>
      <dsp:spPr bwMode="white">
        <a:xfrm>
          <a:off x="1688083" y="1620046"/>
          <a:ext cx="469578" cy="234789"/>
        </a:xfrm>
        <a:prstGeom prst="roundRect">
          <a:avLst>
            <a:gd name="adj" fmla="val 10000"/>
          </a:avLst>
        </a:prstGeom>
      </dsp:spPr>
      <dsp:style>
        <a:lnRef idx="2">
          <a:schemeClr val="dk2">
            <a:shade val="80000"/>
          </a:schemeClr>
        </a:lnRef>
        <a:fillRef idx="1">
          <a:schemeClr val="lt1"/>
        </a:fillRef>
        <a:effectRef idx="0">
          <a:scrgbClr r="0" g="0" b="0"/>
        </a:effectRef>
        <a:fontRef idx="minor">
          <a:schemeClr val="lt1"/>
        </a:fontRef>
      </dsp:style>
      <dsp:txBody>
        <a:bodyPr vert="horz" wrap="square" lIns="3175" tIns="3175" rIns="3175" bIns="3175" anchor="ctr"/>
        <a:lstStyle>
          <a:lvl1pPr algn="ctr">
            <a:defRPr sz="500"/>
          </a:lvl1pPr>
          <a:lvl2pPr marL="57150" indent="-57150" algn="ctr">
            <a:defRPr sz="300"/>
          </a:lvl2pPr>
          <a:lvl3pPr marL="114300" indent="-57150" algn="ctr">
            <a:defRPr sz="300"/>
          </a:lvl3pPr>
          <a:lvl4pPr marL="171450" indent="-57150" algn="ctr">
            <a:defRPr sz="300"/>
          </a:lvl4pPr>
          <a:lvl5pPr marL="228600" indent="-57150" algn="ctr">
            <a:defRPr sz="300"/>
          </a:lvl5pPr>
          <a:lvl6pPr marL="285750" indent="-57150" algn="ctr">
            <a:defRPr sz="300"/>
          </a:lvl6pPr>
          <a:lvl7pPr marL="342900" indent="-57150" algn="ctr">
            <a:defRPr sz="300"/>
          </a:lvl7pPr>
          <a:lvl8pPr marL="400050" indent="-57150" algn="ctr">
            <a:defRPr sz="300"/>
          </a:lvl8pPr>
          <a:lvl9pPr marL="457200" indent="-57150" algn="ctr">
            <a:defRPr sz="300"/>
          </a:lvl9pPr>
        </a:lstStyle>
        <a:p>
          <a:pPr lvl="0">
            <a:lnSpc>
              <a:spcPct val="100000"/>
            </a:lnSpc>
            <a:spcBef>
              <a:spcPct val="0"/>
            </a:spcBef>
            <a:spcAft>
              <a:spcPct val="35000"/>
            </a:spcAft>
          </a:pPr>
          <a:r>
            <a:rPr lang="zh-CN">
              <a:solidFill>
                <a:schemeClr val="dk2"/>
              </a:solidFill>
            </a:rPr>
            <a:t>不兑换</a:t>
          </a:r>
          <a:r>
            <a:rPr lang="zh-CN">
              <a:solidFill>
                <a:schemeClr val="dk2"/>
              </a:solidFill>
            </a:rPr>
            <a:t>纸币</a:t>
          </a:r>
          <a:r>
            <a:rPr lang="zh-CN">
              <a:solidFill>
                <a:schemeClr val="dk2"/>
              </a:solidFill>
            </a:rPr>
            <a:t>本位</a:t>
          </a:r>
          <a:r>
            <a:rPr lang="zh-CN">
              <a:solidFill>
                <a:schemeClr val="dk2"/>
              </a:solidFill>
            </a:rPr>
            <a:t>制</a:t>
          </a:r>
          <a:r>
            <a:rPr lang="zh-CN">
              <a:solidFill>
                <a:schemeClr val="dk2"/>
              </a:solidFill>
            </a:rPr>
            <a:t>下</a:t>
          </a:r>
          <a:r>
            <a:rPr lang="zh-CN">
              <a:solidFill>
                <a:schemeClr val="dk2"/>
              </a:solidFill>
            </a:rPr>
            <a:t>固定</a:t>
          </a:r>
          <a:r>
            <a:rPr lang="zh-CN">
              <a:solidFill>
                <a:schemeClr val="dk2"/>
              </a:solidFill>
            </a:rPr>
            <a:t>汇率</a:t>
          </a:r>
          <a:r>
            <a:rPr lang="zh-CN">
              <a:solidFill>
                <a:schemeClr val="dk2"/>
              </a:solidFill>
            </a:rPr>
            <a:t>制度</a:t>
          </a:r>
          <a:endParaRPr altLang="en-US">
            <a:solidFill>
              <a:schemeClr val="dk2"/>
            </a:solidFill>
          </a:endParaRPr>
        </a:p>
      </dsp:txBody>
      <dsp:txXfrm>
        <a:off x="1688083" y="1620046"/>
        <a:ext cx="469578" cy="23478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rSet qsTypeId="urn:microsoft.com/office/officeart/2005/8/quickstyle/simple5"/>
        </dgm:pt>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rSet csTypeId="urn:microsoft.com/office/officeart/2005/8/colors/accent6_5"/>
        </dgm:pt>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endSty" val="noArr"/>
                        <dgm:param type="begPts" val="midR"/>
                        <dgm:param type="endPts" val="midL"/>
                      </dgm:alg>
                    </dgm:if>
                    <dgm:else name="Name14">
                      <dgm:alg type="conn">
                        <dgm:param type="dim" val="1D"/>
                        <dgm:param type="endSty" val="noArr"/>
                        <dgm:param type="begPts" val="midL"/>
                        <dgm:param type="endPts" val="mid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2024-06-11T15:34:00Z</dcterms:created>
  <dc:creator>Bettyxujiaqi</dc:creator>
  <cp:lastModifiedBy>Bettyxujiaqi</cp:lastModifiedBy>
  <dcterms:modified xsi:type="dcterms:W3CDTF">2024-06-18T22:16:11Z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9B6D5664F7D256C07C0964668CFD722A_41</vt:lpwstr>
  </property>
</Properties>
</file>