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5139F">
      <w:pPr>
        <w:spacing w:line="360" w:lineRule="auto"/>
        <w:jc w:val="center"/>
        <w:rPr>
          <w:rFonts w:hint="default" w:ascii="Times New Roman" w:hAnsi="Times New Roman" w:eastAsia="华文楷体" w:cs="Times New Roman"/>
          <w:sz w:val="32"/>
          <w:szCs w:val="40"/>
          <w:lang w:val="en-US" w:eastAsia="zh-CN"/>
        </w:rPr>
      </w:pPr>
      <w:r>
        <w:rPr>
          <w:rFonts w:hint="default" w:ascii="Times New Roman" w:hAnsi="Times New Roman" w:eastAsia="华文楷体" w:cs="Times New Roman"/>
          <w:sz w:val="32"/>
          <w:szCs w:val="40"/>
          <w:lang w:val="en-US" w:eastAsia="zh-CN"/>
        </w:rPr>
        <w:t>《国际金融学》第二次作业</w:t>
      </w:r>
    </w:p>
    <w:p w14:paraId="5845032B">
      <w:pPr>
        <w:spacing w:line="360" w:lineRule="auto"/>
        <w:jc w:val="center"/>
        <w:rPr>
          <w:rFonts w:hint="default" w:ascii="Times New Roman" w:hAnsi="Times New Roman" w:eastAsia="华文楷体" w:cs="Times New Roman"/>
          <w:lang w:val="en-US" w:eastAsia="zh-CN"/>
        </w:rPr>
      </w:pPr>
      <w:r>
        <w:rPr>
          <w:rFonts w:hint="default" w:ascii="Times New Roman" w:hAnsi="Times New Roman" w:eastAsia="华文楷体" w:cs="Times New Roman"/>
          <w:lang w:val="en-US" w:eastAsia="zh-CN"/>
        </w:rPr>
        <w:t>密码</w:t>
      </w:r>
      <w:bookmarkStart w:id="0" w:name="_GoBack"/>
      <w:bookmarkEnd w:id="0"/>
      <w:r>
        <w:rPr>
          <w:rFonts w:hint="default" w:ascii="Times New Roman" w:hAnsi="Times New Roman" w:eastAsia="华文楷体" w:cs="Times New Roman"/>
          <w:lang w:val="en-US" w:eastAsia="zh-CN"/>
        </w:rPr>
        <w:t>与网络空间安全学院 信息安全 2211044 陆皓喆</w:t>
      </w:r>
    </w:p>
    <w:p w14:paraId="73DAA3A4">
      <w:pPr>
        <w:numPr>
          <w:ilvl w:val="0"/>
          <w:numId w:val="1"/>
        </w:numPr>
        <w:spacing w:line="360" w:lineRule="auto"/>
        <w:rPr>
          <w:rFonts w:hint="default" w:ascii="Times New Roman" w:hAnsi="Times New Roman" w:eastAsia="华文楷体" w:cs="Times New Roman"/>
          <w:b/>
          <w:bCs/>
        </w:rPr>
      </w:pPr>
      <w:r>
        <w:rPr>
          <w:rFonts w:hint="default" w:ascii="Times New Roman" w:hAnsi="Times New Roman" w:eastAsia="华文楷体" w:cs="Times New Roman"/>
          <w:b/>
          <w:bCs/>
        </w:rPr>
        <w:t>分析蒙代尔政策分派原理EB曲线斜率为正的情况（作图+文字说明）</w:t>
      </w:r>
    </w:p>
    <w:p w14:paraId="214C5800">
      <w:pPr>
        <w:spacing w:line="360" w:lineRule="auto"/>
        <w:jc w:val="center"/>
        <w:rPr>
          <w:rFonts w:hint="default" w:ascii="Times New Roman" w:hAnsi="Times New Roman" w:eastAsia="华文楷体" w:cs="Times New Roman"/>
        </w:rPr>
      </w:pPr>
      <w:r>
        <w:rPr>
          <w:rFonts w:hint="default" w:ascii="Times New Roman" w:hAnsi="Times New Roman" w:eastAsia="华文楷体" w:cs="Times New Roman"/>
        </w:rPr>
        <w:drawing>
          <wp:inline distT="0" distB="0" distL="114300" distR="114300">
            <wp:extent cx="3274695" cy="2252345"/>
            <wp:effectExtent l="0" t="0" r="190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F3409">
      <w:pPr>
        <w:spacing w:line="360" w:lineRule="auto"/>
        <w:ind w:firstLine="420" w:firstLineChars="0"/>
        <w:rPr>
          <w:rFonts w:hint="default" w:ascii="Times New Roman" w:hAnsi="Times New Roman" w:eastAsia="华文楷体" w:cs="Times New Roman"/>
        </w:rPr>
      </w:pPr>
      <w:r>
        <w:rPr>
          <w:rFonts w:hint="default" w:ascii="Times New Roman" w:hAnsi="Times New Roman" w:eastAsia="华文楷体" w:cs="Times New Roman"/>
        </w:rPr>
        <w:t>EB曲线呈现正斜率，核心在于揭示了维持外部均衡时国民收入（Y）与利率（i）之间存在同向变动的关系：即要保持国际收支平衡，在收入水平上升时，利率水平也需要相应提高。</w:t>
      </w:r>
    </w:p>
    <w:p w14:paraId="700EB07A">
      <w:pPr>
        <w:spacing w:line="360" w:lineRule="auto"/>
        <w:ind w:firstLine="420" w:firstLineChars="0"/>
        <w:rPr>
          <w:rFonts w:hint="default" w:ascii="Times New Roman" w:hAnsi="Times New Roman" w:eastAsia="华文楷体" w:cs="Times New Roman"/>
        </w:rPr>
      </w:pPr>
      <w:r>
        <w:rPr>
          <w:rFonts w:hint="default" w:ascii="Times New Roman" w:hAnsi="Times New Roman" w:eastAsia="华文楷体" w:cs="Times New Roman"/>
        </w:rPr>
        <w:t>以财政扩张为例：扩张性财政政策会推高总需求，导致国民收入（Y）增加，进而引致进口需求上升，对国际收支平衡产生负面压力。若要抵消这一压力并维持外部均衡，货币政策需要做出反应。具体而言，需要通过提高利率（即采取相对紧缩的货币政策姿态）来吸引资本流入，从而弥补经常账户的恶化。这里，收入（Y）的增加需要利率（i）的上升来共同维持外部均衡，体现了Y和i在EB曲线上的同向变动。</w:t>
      </w:r>
    </w:p>
    <w:p w14:paraId="58B3298B">
      <w:pPr>
        <w:spacing w:line="360" w:lineRule="auto"/>
        <w:ind w:firstLine="420" w:firstLineChars="0"/>
        <w:rPr>
          <w:rFonts w:hint="default" w:ascii="Times New Roman" w:hAnsi="Times New Roman" w:eastAsia="华文楷体" w:cs="Times New Roman"/>
        </w:rPr>
      </w:pPr>
      <w:r>
        <w:rPr>
          <w:rFonts w:hint="default" w:ascii="Times New Roman" w:hAnsi="Times New Roman" w:eastAsia="华文楷体" w:cs="Times New Roman"/>
        </w:rPr>
        <w:t>这种机制凸显了不同经济政策的独特影响领域：财政政策通过改变总支出，其主要效力体现在对国内收入和内部均衡的调控上；而货币政策通过调控利率，进而影响资本的国际流动和汇率预期，其在调节外部均衡方面通常具有更直接和更强的影响力。正是这种政策工具影响目标的“比较优势”差异，构成了蒙代尔政策有效指派法则的基石：将财政政策导向内部均衡目标，将货币政策导向外部均衡目标，以此提升同时达成双重目标的政策效率。</w:t>
      </w:r>
    </w:p>
    <w:p w14:paraId="1518D267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eastAsia="华文楷体" w:cs="Times New Roman"/>
          <w:b/>
          <w:bCs/>
        </w:rPr>
      </w:pPr>
      <w:r>
        <w:rPr>
          <w:rFonts w:hint="default" w:ascii="Times New Roman" w:hAnsi="Times New Roman" w:eastAsia="华文楷体" w:cs="Times New Roman"/>
          <w:b/>
          <w:bCs/>
        </w:rPr>
        <w:t>回答ppt问题：在下列区域，指派法则成立吗？（作图+文字说明）</w:t>
      </w:r>
    </w:p>
    <w:p w14:paraId="62E6322B">
      <w:pPr>
        <w:widowControl w:val="0"/>
        <w:numPr>
          <w:numId w:val="0"/>
        </w:numPr>
        <w:spacing w:line="360" w:lineRule="auto"/>
        <w:jc w:val="center"/>
        <w:rPr>
          <w:rFonts w:hint="default" w:ascii="Times New Roman" w:hAnsi="Times New Roman" w:eastAsia="华文楷体" w:cs="Times New Roman"/>
          <w:lang w:eastAsia="zh-CN"/>
        </w:rPr>
      </w:pPr>
      <w:r>
        <w:rPr>
          <w:rFonts w:hint="default" w:ascii="Times New Roman" w:hAnsi="Times New Roman" w:eastAsia="华文楷体" w:cs="Times New Roman"/>
          <w:lang w:eastAsia="zh-CN"/>
        </w:rPr>
        <w:drawing>
          <wp:inline distT="0" distB="0" distL="114300" distR="114300">
            <wp:extent cx="4075430" cy="2628265"/>
            <wp:effectExtent l="0" t="0" r="1270" b="635"/>
            <wp:docPr id="1" name="图片 1" descr="9b435b75329936fc02c03b216c63b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b435b75329936fc02c03b216c63b5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543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EE34">
      <w:pPr>
        <w:bidi w:val="0"/>
        <w:spacing w:line="360" w:lineRule="auto"/>
        <w:ind w:firstLine="420" w:firstLineChars="0"/>
        <w:jc w:val="left"/>
        <w:rPr>
          <w:rFonts w:hint="default" w:ascii="Times New Roman" w:hAnsi="Times New Roman" w:eastAsia="华文楷体" w:cs="Times New Roman"/>
          <w:b/>
          <w:bCs/>
          <w:lang w:val="en-US" w:eastAsia="zh-CN"/>
        </w:rPr>
      </w:pPr>
      <w:r>
        <w:rPr>
          <w:rFonts w:hint="default" w:ascii="Times New Roman" w:hAnsi="Times New Roman" w:eastAsia="华文楷体" w:cs="Times New Roman"/>
          <w:b/>
          <w:bCs/>
          <w:lang w:val="en-US" w:eastAsia="zh-CN"/>
        </w:rPr>
        <w:t>指派法是成立的</w:t>
      </w:r>
      <w:r>
        <w:rPr>
          <w:rFonts w:hint="default" w:ascii="Times New Roman" w:hAnsi="Times New Roman" w:eastAsia="华文楷体" w:cs="Times New Roman"/>
          <w:b/>
          <w:bCs/>
          <w:lang w:val="en-US" w:eastAsia="zh-CN"/>
        </w:rPr>
        <w:t>。</w:t>
      </w:r>
    </w:p>
    <w:p w14:paraId="268ACF3C">
      <w:pPr>
        <w:bidi w:val="0"/>
        <w:spacing w:line="360" w:lineRule="auto"/>
        <w:ind w:firstLine="420" w:firstLineChars="0"/>
        <w:jc w:val="left"/>
        <w:rPr>
          <w:rFonts w:hint="default" w:ascii="Times New Roman" w:hAnsi="Times New Roman" w:eastAsia="华文楷体" w:cs="Times New Roman"/>
          <w:lang w:val="en-US" w:eastAsia="zh-CN"/>
        </w:rPr>
      </w:pPr>
      <w:r>
        <w:rPr>
          <w:rFonts w:hint="default" w:ascii="Times New Roman" w:hAnsi="Times New Roman" w:eastAsia="华文楷体" w:cs="Times New Roman"/>
          <w:lang w:val="en-US" w:eastAsia="zh-CN"/>
        </w:rPr>
        <w:t>图中 IB 曲线代表内部均衡，EB 曲线代表外部均衡，E 点为内外均衡点。在 EB 曲线右侧区域，国际收支处于盈余状态；在 EB 曲线左侧区域，国际收支处于赤字状态 。在 IB 曲线上方区域，经济存在通货膨胀等内部失衡；在 IB 曲线下方区域，经济存在失业等内部失衡。</w:t>
      </w:r>
    </w:p>
    <w:p w14:paraId="1B69D9EC">
      <w:pPr>
        <w:bidi w:val="0"/>
        <w:spacing w:line="360" w:lineRule="auto"/>
        <w:ind w:firstLine="420" w:firstLineChars="0"/>
        <w:jc w:val="left"/>
        <w:rPr>
          <w:rFonts w:hint="default" w:ascii="Times New Roman" w:hAnsi="Times New Roman" w:eastAsia="华文楷体" w:cs="Times New Roman"/>
          <w:lang w:val="en-US" w:eastAsia="zh-CN"/>
        </w:rPr>
      </w:pPr>
      <w:r>
        <w:rPr>
          <w:rFonts w:hint="default" w:ascii="Times New Roman" w:hAnsi="Times New Roman" w:eastAsia="华文楷体" w:cs="Times New Roman"/>
          <w:lang w:val="en-US" w:eastAsia="zh-CN"/>
        </w:rPr>
        <w:t>根据指派法则，当经济处于不同失衡区域时，财政政策和货币政策应按特定方向调整。例如在 EB 曲线右侧且 IB 曲线上方区域，存在国际收支盈余和内部通货膨胀，此时应紧缩财政政策抑制通胀（内部均衡），扩张货币政策增加货币供给以减少国际收支盈余（外部均衡）。</w:t>
      </w:r>
    </w:p>
    <w:p w14:paraId="4F32B19B">
      <w:pPr>
        <w:bidi w:val="0"/>
        <w:spacing w:line="360" w:lineRule="auto"/>
        <w:ind w:firstLine="420" w:firstLineChars="0"/>
        <w:jc w:val="left"/>
        <w:rPr>
          <w:rFonts w:hint="default" w:ascii="Times New Roman" w:hAnsi="Times New Roman" w:eastAsia="华文楷体" w:cs="Times New Roman"/>
          <w:lang w:val="en-US" w:eastAsia="zh-CN"/>
        </w:rPr>
      </w:pPr>
      <w:r>
        <w:rPr>
          <w:rFonts w:hint="default" w:ascii="Times New Roman" w:hAnsi="Times New Roman" w:eastAsia="华文楷体" w:cs="Times New Roman"/>
          <w:lang w:val="en-US" w:eastAsia="zh-CN"/>
        </w:rPr>
        <w:t>从一般理论逻辑和该模型框架下，如果按照蒙代尔指派法则的政策工具 - 目标匹配思路，在图中所划分的不同失衡区域，通过合理搭配财政政策（横轴方向调整）和货币政策（纵轴方向调整），可以逐步实现内外均衡，所以在该模型设定的区域内，指派法则是成立的。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9807E4"/>
    <w:multiLevelType w:val="singleLevel"/>
    <w:tmpl w:val="4E9807E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211EF"/>
    <w:rsid w:val="00FE7B94"/>
    <w:rsid w:val="03DF0AE6"/>
    <w:rsid w:val="0DA970D9"/>
    <w:rsid w:val="16F63F87"/>
    <w:rsid w:val="1B5F12B0"/>
    <w:rsid w:val="1B650AE3"/>
    <w:rsid w:val="1DF00E37"/>
    <w:rsid w:val="1F680BA2"/>
    <w:rsid w:val="1FEB0629"/>
    <w:rsid w:val="21F030D1"/>
    <w:rsid w:val="2ACC6A20"/>
    <w:rsid w:val="30782C0F"/>
    <w:rsid w:val="34DD15C7"/>
    <w:rsid w:val="3F277CDA"/>
    <w:rsid w:val="42301767"/>
    <w:rsid w:val="4FB722FD"/>
    <w:rsid w:val="52666914"/>
    <w:rsid w:val="554F0D30"/>
    <w:rsid w:val="55F54236"/>
    <w:rsid w:val="5CD12981"/>
    <w:rsid w:val="5DF9063C"/>
    <w:rsid w:val="66854D92"/>
    <w:rsid w:val="685E5C6B"/>
    <w:rsid w:val="6B106FC5"/>
    <w:rsid w:val="6F3516FC"/>
    <w:rsid w:val="738242B7"/>
    <w:rsid w:val="73A34E7A"/>
    <w:rsid w:val="7D5907C0"/>
    <w:rsid w:val="7E1A7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2025-05-08T13:16:23Z</dcterms:created>
  <dc:creator>Lenovo</dc:creator>
  <cp:lastModifiedBy>陆皓喆</cp:lastModifiedBy>
  <dcterms:modified xsi:type="dcterms:W3CDTF">2025-05-08T13:32:33Z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eyJoZGlkIjoiNjgyNDljODBmOGJlMmI3ZDQzYTA2YzM0ZWUyNjZlMTAiLCJ1c2VySWQiOiIxNjkwNTU2MDc2In0=</vt:lpwstr>
  </property>
  <property fmtid="{D5CDD505-2E9C-101B-9397-08002B2CF9AE}" pid="4" name="ICV">
    <vt:lpwstr>6F03D5C7F2614041B7B4AC3197444893_12</vt:lpwstr>
  </property>
</Properties>
</file>