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 w:line="276"/>
      </w:pPr>
      <w:r>
        <w:rPr>
          <w:rFonts w:ascii="Calibri" w:cs="Calibri" w:eastAsia="Calibri" w:hAnsi="Calibri"/>
          <w:b/>
          <w:bCs/>
          <w:color w:val="1F6F68"/>
          <w:spacing w:val="30"/>
          <w:sz w:val="16"/>
          <w:szCs w:val="16"/>
        </w:rPr>
        <w:t xml:space="preserve">RELATÓRIO DE ADOÇÃO · SURVEYOS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101618"/>
          <w:sz w:val="52"/>
          <w:szCs w:val="52"/>
        </w:rPr>
        <w:t xml:space="preserve">Adoção do SurveyOS</w:t>
      </w:r>
    </w:p>
    <w:p>
      <w:pPr>
        <w:pBdr>
          <w:bottom w:val="single" w:color="D6DEDF" w:sz="4" w:space="8"/>
        </w:pBdr>
        <w:spacing w:before="0" w:after="260" w:line="276"/>
      </w:pPr>
      <w:r>
        <w:rPr>
          <w:rFonts w:ascii="Calibri" w:cs="Calibri" w:eastAsia="Calibri" w:hAnsi="Calibri"/>
          <w:color w:val="667A80"/>
          <w:sz w:val="18"/>
          <w:szCs w:val="18"/>
        </w:rPr>
        <w:t xml:space="preserve">Posição em 4 de setembro de 2026   ·   47 ordens de serviço avaliadas   ·   Redes — PR, MG, SP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FFFFFF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0" w:line="320"/>
            </w:pPr>
            <w:r>
              <w:rPr>
                <w:rFonts w:ascii="Georgia" w:cs="Georgia" w:eastAsia="Georgia" w:hAnsi="Georgia"/>
                <w:color w:val="101618"/>
                <w:sz w:val="24"/>
                <w:szCs w:val="24"/>
              </w:rPr>
              <w:t xml:space="preserve">Das 47 ordens avaliadas, 38 foram encerradas. PR concluiu 18 das 22 abertas na região; MG concluiu 16 das 20 abertas na região; SP concluiu 4 das 5 abertas na região. Todas as regiões têm técnico atribuído em ao menos uma ordem.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44"/>
                <w:szCs w:val="44"/>
              </w:rPr>
              <w:t xml:space="preserve">47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ORDENS NO PERÍODO</w:t>
            </w:r>
          </w:p>
        </w:tc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44"/>
                <w:szCs w:val="44"/>
              </w:rPr>
              <w:t xml:space="preserve">38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ENCERRADAS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4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SEM TÉCNICO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1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PRAZO VENCIDO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O contraste entre as regiões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PR tem técnico atribuído em 21 das 22 ordens, com 18 encerradas. MG tem técnico atribuído em 18 das 20 ordens, com 16 encerradas. SP tem técnico atribuído em 4 das 5 ordens, com 4 encerradas.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2400"/>
        <w:gridCol w:w="2400"/>
        <w:gridCol w:w="2400"/>
      </w:tblGrid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10161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PR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MG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Ordens no período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22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20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Com técnico atribuído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21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18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Encerradas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18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16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Panorama do MG no período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2 ordens estão abertas em 2 cidades, sem técnico atribuído. A região já tem técnicos atuando, então o que resta é fila de delegação pendente, não falta de cadastro.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8,5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de espera, em média</w:t>
            </w:r>
          </w:p>
        </w:tc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16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da mais antiga (OS-2026-0030, Pouso Alegre)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0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já com prazo vencido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de prioridade alta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A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F" w:sz="4" w:space="6"/>
      </w:pBdr>
      <w:jc w:val="right"/>
    </w:pPr>
    <w:r>
      <w:rPr>
        <w:rFonts w:ascii="Calibri" w:cs="Calibri" w:eastAsia="Calibri" w:hAnsi="Calibri"/>
        <w:color w:val="667A80"/>
        <w:sz w:val="16"/>
        <w:szCs w:val="16"/>
      </w:rPr>
      <w:t xml:space="preserve">SurveyOS · Relatório de adoção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6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2026-09-04T18:27:28.620Z</dcterms:created>
  <dcterms:modified xsi:type="dcterms:W3CDTF">2026-09-04T18:27:28.620Z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