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20 de setembro de 2026   ·   334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334 ordens avaliadas, 318 foram encerradas. PR concluiu 244 das 249 abertas na região; SP concluiu 49 das 55 abertas na região; MG concluiu 25 das 30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334</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318</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12</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249 das 249 ordens, com 244 encerradas. SP tem técnico atribuído em 55 das 55 ordens, com 49 encerradas. MG tem técnico atribuído em 30 das 30 ordens, com 25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244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2026-09-20T13:12:46.416Z</dcterms:created>
  <dcterms:modified xsi:type="dcterms:W3CDTF">2026-09-20T13:12:46.416Z</dcterms:modified>
</cp:coreProperties>
</file>

<file path=docProps/custom.xml><?xml version="1.0" encoding="utf-8"?>
<Properties xmlns="http://schemas.openxmlformats.org/officeDocument/2006/custom-properties" xmlns:vt="http://schemas.openxmlformats.org/officeDocument/2006/docPropsVTypes"/>
</file>