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12 de setembro de 2026   ·   147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147 ordens avaliadas, 134 foram encerradas. PR concluiu 97 das 99 abertas na região; SP concluiu 16 das 24 abertas na região; MG concluiu 21 das 24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147</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134</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98 das 99 ordens, com 97 encerradas. SP tem técnico atribuído em 24 das 24 ordens, com 16 encerradas. MG tem técnico atribuído em 24 das 24 ordens, com 21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99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24</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24</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(OS-2026-0184, Ibaiti)</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2026-09-12T12:21:34.804Z</dcterms:created>
  <dcterms:modified xsi:type="dcterms:W3CDTF">2026-09-12T12:21:34.804Z</dcterms:modified>
</cp:coreProperties>
</file>

<file path=docProps/custom.xml><?xml version="1.0" encoding="utf-8"?>
<Properties xmlns="http://schemas.openxmlformats.org/officeDocument/2006/custom-properties" xmlns:vt="http://schemas.openxmlformats.org/officeDocument/2006/docPropsVTypes"/>
</file>