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24 de outubro de 2026   ·   952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952 ordens avaliadas, 913 foram encerradas. PR concluiu 728 das 749 abertas na região; SP concluiu 137 das 150 abertas na região; MG concluiu 48 das 53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952</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913</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38</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749 das 749 ordens, com 728 encerradas. SP tem técnico atribuído em 149 das 150 ordens, com 137 encerradas. MG tem técnico atribuído em 53 das 53 ordens, com 48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150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53</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728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48</w:t>
            </w:r>
          </w:p>
        </w:tc>
      </w:tr>
    </w:tbl>
    <w:p>
      <w:pPr>
        <w:spacing w:after="120"/>
      </w:pPr>
    </w:p>
    <w:p>
      <w:pPr>
        <w:pStyle w:val="Heading2"/>
        <w:spacing w:before="360" w:after="140"/>
      </w:pPr>
      <w:r>
        <w:rPr>
          <w:rFonts w:ascii="Georgia" w:cs="Georgia" w:eastAsia="Georgia" w:hAnsi="Georgia"/>
          <w:b/>
          <w:bCs/>
          <w:color w:val="101618"/>
          <w:sz w:val="26"/>
          <w:szCs w:val="26"/>
        </w:rPr>
        <w:t xml:space="preserve">Panorama do SP no período</w:t>
      </w:r>
    </w:p>
    <w:p>
      <w:pPr>
        <w:spacing w:before="0" w:after="200" w:line="276"/>
      </w:pPr>
      <w:r>
        <w:rPr>
          <w:rFonts w:ascii="Calibri" w:cs="Calibri" w:eastAsia="Calibri" w:hAnsi="Calibri"/>
          <w:color w:val="37454A"/>
          <w:sz w:val="20"/>
          <w:szCs w:val="20"/>
        </w:rPr>
        <w:t xml:space="preserve">1 ordem está aberta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(OS-2026-0995, Itapeva)</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1039 atividades registradas nas 952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CEO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2026-10-24T12:55:00.012Z</dcterms:created>
  <dcterms:modified xsi:type="dcterms:W3CDTF">2026-10-24T12:55:00.012Z</dcterms:modified>
</cp:coreProperties>
</file>

<file path=docProps/custom.xml><?xml version="1.0" encoding="utf-8"?>
<Properties xmlns="http://schemas.openxmlformats.org/officeDocument/2006/custom-properties" xmlns:vt="http://schemas.openxmlformats.org/officeDocument/2006/docPropsVTypes"/>
</file>