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17 de setembro de 2026   ·   261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261 ordens avaliadas, 237 foram encerradas. PR concluiu 180 das 195 abertas na região; SP concluiu 32 das 40 abertas na região; MG concluiu 25 das 26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261</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237</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7</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195 das 195 ordens, com 180 encerradas. SP tem técnico atribuído em 40 das 40 ordens, com 32 encerradas. MG tem técnico atribuído em 26 das 26 ordens, com 25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195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195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180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25</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2026-09-17T13:46:21.420Z</dcterms:created>
  <dcterms:modified xsi:type="dcterms:W3CDTF">2026-09-17T13:46:21.420Z</dcterms:modified>
</cp:coreProperties>
</file>

<file path=docProps/custom.xml><?xml version="1.0" encoding="utf-8"?>
<Properties xmlns="http://schemas.openxmlformats.org/officeDocument/2006/custom-properties" xmlns:vt="http://schemas.openxmlformats.org/officeDocument/2006/docPropsVTypes"/>
</file>