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 de outubro de 2026   ·   596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596 ordens avaliadas, 550 foram encerradas. PR concluiu 434 das 464 abertas na região; SP concluiu 82 das 94 abertas na região; MG concluiu 34 das 38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596</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550</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17</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464 das 464 ordens, com 434 encerradas. SP tem técnico atribuído em 94 das 94 ordens, com 82 encerradas. MG tem técnico atribuído em 38 das 38 ordens, com 34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464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94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38</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464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94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38</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434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82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2026-10-01T15:39:45.172Z</dcterms:created>
  <dcterms:modified xsi:type="dcterms:W3CDTF">2026-10-01T15:39:45.172Z</dcterms:modified>
</cp:coreProperties>
</file>

<file path=docProps/custom.xml><?xml version="1.0" encoding="utf-8"?>
<Properties xmlns="http://schemas.openxmlformats.org/officeDocument/2006/custom-properties" xmlns:vt="http://schemas.openxmlformats.org/officeDocument/2006/docPropsVTypes"/>
</file>