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00" w:line="276"/>
      </w:pPr>
      <w:r>
        <w:rPr>
          <w:rFonts w:ascii="Calibri" w:cs="Calibri" w:eastAsia="Calibri" w:hAnsi="Calibri"/>
          <w:b/>
          <w:bCs/>
          <w:color w:val="1F6F68"/>
          <w:spacing w:val="30"/>
          <w:sz w:val="16"/>
          <w:szCs w:val="16"/>
        </w:rPr>
        <w:t xml:space="preserve">RELATÓRIO DE ADOÇÃO · SURVEYOS</w:t>
      </w:r>
    </w:p>
    <w:p>
      <w:pPr>
        <w:spacing w:after="140"/>
      </w:pPr>
      <w:r>
        <w:rPr>
          <w:rFonts w:ascii="Georgia" w:cs="Georgia" w:eastAsia="Georgia" w:hAnsi="Georgia"/>
          <w:b/>
          <w:bCs/>
          <w:color w:val="101618"/>
          <w:sz w:val="52"/>
          <w:szCs w:val="52"/>
        </w:rPr>
        <w:t xml:space="preserve">Adoção do SurveyOS</w:t>
      </w:r>
    </w:p>
    <w:p>
      <w:pPr>
        <w:pBdr>
          <w:bottom w:val="single" w:color="D6DEDF" w:sz="4" w:space="8"/>
        </w:pBdr>
        <w:spacing w:before="0" w:after="260" w:line="276"/>
      </w:pPr>
      <w:r>
        <w:rPr>
          <w:rFonts w:ascii="Calibri" w:cs="Calibri" w:eastAsia="Calibri" w:hAnsi="Calibri"/>
          <w:color w:val="667A80"/>
          <w:sz w:val="18"/>
          <w:szCs w:val="18"/>
        </w:rPr>
        <w:t xml:space="preserve">Posição em 4 de setembro de 2026   ·   45 ordens de serviço avaliadas   ·   Redes — PR, MG, SP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FFFFFF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before="0" w:after="0" w:line="320"/>
            </w:pPr>
            <w:r>
              <w:rPr>
                <w:rFonts w:ascii="Georgia" w:cs="Georgia" w:eastAsia="Georgia" w:hAnsi="Georgia"/>
                <w:color w:val="101618"/>
                <w:sz w:val="24"/>
                <w:szCs w:val="24"/>
              </w:rPr>
              <w:t xml:space="preserve">Das 45 ordens avaliadas, 38 foram encerradas. PR concluiu 18 das 21 abertas na região; MG concluiu 16 das 19 abertas na região; SP concluiu 4 das 5 abertas na região. Todas as regiões têm técnico atribuído em ao menos uma ordem.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44"/>
                <w:szCs w:val="44"/>
              </w:rPr>
              <w:t xml:space="preserve">45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ORDENS NO PERÍODO</w:t>
            </w:r>
          </w:p>
        </w:tc>
        <w:tc>
          <w:tcPr>
            <w:tcW w:type="dxa" w:w="241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44"/>
                <w:szCs w:val="44"/>
              </w:rPr>
              <w:t xml:space="preserve">38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ENCERRADAS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3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SEM TÉCNICO</w:t>
            </w:r>
          </w:p>
        </w:tc>
        <w:tc>
          <w:tcPr>
            <w:tcW w:type="dxa" w:w="2409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4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44"/>
                <w:szCs w:val="44"/>
              </w:rPr>
              <w:t xml:space="preserve">0</w:t>
            </w:r>
          </w:p>
          <w:p>
            <w:pPr>
              <w:spacing w:before="0" w:after="0" w:line="200"/>
            </w:pPr>
            <w:r>
              <w:rPr>
                <w:rFonts w:ascii="Calibri" w:cs="Calibri" w:eastAsia="Calibri" w:hAnsi="Calibri"/>
                <w:b/>
                <w:bCs/>
                <w:color w:val="667A80"/>
                <w:spacing w:val="12"/>
                <w:sz w:val="14"/>
                <w:szCs w:val="14"/>
              </w:rPr>
              <w:t xml:space="preserve">PRAZO VENCIDO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O contraste entre as regiões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PR tem técnico atribuído em 21 das 21 ordens, com 18 encerradas. MG tem técnico atribuído em 17 das 19 ordens, com 16 encerradas. SP tem técnico atribuído em 4 das 5 ordens, com 4 encerradas.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38"/>
        <w:gridCol w:w="2400"/>
        <w:gridCol w:w="2400"/>
        <w:gridCol w:w="2400"/>
      </w:tblGrid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101618"/>
                <w:sz w:val="18"/>
                <w:szCs w:val="18"/>
              </w:rPr>
              <w:t xml:space="preserve"/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PR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MG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shd w:fill="1F6F6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SP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Situação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B7A4B"/>
                <w:sz w:val="19"/>
                <w:szCs w:val="19"/>
              </w:rPr>
              <w:t xml:space="preserve">Operando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Ordens no período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21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19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01618"/>
                <w:sz w:val="24"/>
                <w:szCs w:val="24"/>
              </w:rPr>
              <w:t xml:space="preserve">5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Com técnico atribuído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21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17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4</w:t>
            </w:r>
          </w:p>
        </w:tc>
      </w:tr>
      <w:tr>
        <w:tc>
          <w:tcPr>
            <w:tcW w:type="dxa" w:w="2438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</w:pPr>
            <w:r>
              <w:rPr>
                <w:rFonts w:ascii="Calibri" w:cs="Calibri" w:eastAsia="Calibri" w:hAnsi="Calibri"/>
                <w:color w:val="37454A"/>
                <w:sz w:val="19"/>
                <w:szCs w:val="19"/>
              </w:rPr>
              <w:t xml:space="preserve">Encerradas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18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16</w:t>
            </w:r>
          </w:p>
        </w:tc>
        <w:tc>
          <w:tcPr>
            <w:tcW w:type="dxa" w:w="2400"/>
            <w:tcBorders>
              <w:top w:val="single" w:color="D6DEDF" w:sz="4"/>
              <w:left w:val="single" w:color="D6DEDF" w:sz="4"/>
              <w:bottom w:val="single" w:color="D6DEDF" w:sz="4"/>
              <w:right w:val="single" w:color="D6DEDF" w:sz="4"/>
            </w:tcBorders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0" w:line="276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1B7A4B"/>
                <w:sz w:val="24"/>
                <w:szCs w:val="24"/>
              </w:rPr>
              <w:t xml:space="preserve">4</w:t>
            </w:r>
          </w:p>
        </w:tc>
      </w:tr>
    </w:tbl>
    <w:p>
      <w:pPr>
        <w:spacing w:after="120"/>
      </w:pPr>
    </w:p>
    <w:p>
      <w:pPr>
        <w:pStyle w:val="Heading2"/>
        <w:spacing w:before="360" w:after="140"/>
      </w:pPr>
      <w:r>
        <w:rPr>
          <w:rFonts w:ascii="Georgia" w:cs="Georgia" w:eastAsia="Georgia" w:hAnsi="Georgia"/>
          <w:b/>
          <w:bCs/>
          <w:color w:val="101618"/>
          <w:sz w:val="26"/>
          <w:szCs w:val="26"/>
        </w:rPr>
        <w:t xml:space="preserve">Panorama do MG no período</w:t>
      </w:r>
    </w:p>
    <w:p>
      <w:pPr>
        <w:spacing w:before="0" w:after="200" w:line="276"/>
      </w:pPr>
      <w:r>
        <w:rPr>
          <w:rFonts w:ascii="Calibri" w:cs="Calibri" w:eastAsia="Calibri" w:hAnsi="Calibri"/>
          <w:color w:val="37454A"/>
          <w:sz w:val="20"/>
          <w:szCs w:val="20"/>
        </w:rPr>
        <w:t xml:space="preserve">2 ordens estão abertas em 2 cidades, sem técnico atribuído. A região já tem técnicos atuando, então o que resta é fila de delegação pendente, não falta de cadastro.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8,0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de espera, em média</w:t>
            </w:r>
          </w:p>
        </w:tc>
        <w:tc>
          <w:tcPr>
            <w:tcW w:type="dxa" w:w="2410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16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dias da mais antiga (OS-2026-0030, Pouso Alegre)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0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já com prazo vencido</w:t>
            </w:r>
          </w:p>
        </w:tc>
        <w:tc>
          <w:tcPr>
            <w:tcW w:type="dxa" w:w="2409"/>
            <w:tcBorders>
              <w:top w:val="single" w:color="E9C4CD" w:sz="4"/>
              <w:left w:val="single" w:color="E9C4CD" w:sz="4"/>
              <w:bottom w:val="single" w:color="E9C4CD" w:sz="4"/>
              <w:right w:val="single" w:color="E9C4CD" w:sz="4"/>
            </w:tcBorders>
            <w:shd w:fill="F8E5E9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before="0" w:after="30" w:line="240"/>
            </w:pPr>
            <w:r>
              <w:rPr>
                <w:rFonts w:ascii="Georgia" w:cs="Georgia" w:eastAsia="Georgia" w:hAnsi="Georgia"/>
                <w:b/>
                <w:bCs/>
                <w:color w:val="A32D46"/>
                <w:sz w:val="30"/>
                <w:szCs w:val="30"/>
              </w:rPr>
              <w:t xml:space="preserve">1</w:t>
            </w:r>
          </w:p>
          <w:p>
            <w:pPr>
              <w:spacing w:before="0" w:after="0" w:line="220"/>
            </w:pPr>
            <w:r>
              <w:rPr>
                <w:rFonts w:ascii="Calibri" w:cs="Calibri" w:eastAsia="Calibri" w:hAnsi="Calibri"/>
                <w:color w:val="37454A"/>
                <w:sz w:val="16"/>
                <w:szCs w:val="16"/>
              </w:rPr>
              <w:t xml:space="preserve">de prioridade alta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67A80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6DEDF" w:sz="4" w:space="6"/>
      </w:pBdr>
      <w:jc w:val="right"/>
    </w:pPr>
    <w:r>
      <w:rPr>
        <w:rFonts w:ascii="Calibri" w:cs="Calibri" w:eastAsia="Calibri" w:hAnsi="Calibri"/>
        <w:color w:val="667A80"/>
        <w:sz w:val="16"/>
        <w:szCs w:val="16"/>
      </w:rPr>
      <w:t xml:space="preserve">SurveyOS · Relatório de adoção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0161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2026-09-04T14:18:51.940Z</dcterms:created>
  <dcterms:modified xsi:type="dcterms:W3CDTF">2026-09-04T14:18:51.940Z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