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16 de outubro de 2026   ·   829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829 ordens avaliadas, 779 foram encerradas. PR concluiu 621 das 646 abertas na região; SP concluiu 118 das 135 abertas na região; MG concluiu 40 das 48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829</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779</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13</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38</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636 das 646 ordens, com 621 encerradas. SP tem técnico atribuído em 134 das 135 ordens, com 118 encerradas. MG tem técnico atribuído em 46 das 48 ordens, com 40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646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135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636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621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118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40</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10 ordens estão abertas em 3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(OS-2026-0863, Goioerê)</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1</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919 atividades registradas nas 829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2026-10-16T13:31:39.026Z</dcterms:created>
  <dcterms:modified xsi:type="dcterms:W3CDTF">2026-10-16T13:31:39.026Z</dcterms:modified>
</cp:coreProperties>
</file>

<file path=docProps/custom.xml><?xml version="1.0" encoding="utf-8"?>
<Properties xmlns="http://schemas.openxmlformats.org/officeDocument/2006/custom-properties" xmlns:vt="http://schemas.openxmlformats.org/officeDocument/2006/docPropsVTypes"/>
</file>