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21 de setembro de 2026   ·   352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352 ordens avaliadas, 321 foram encerradas. PR concluiu 245 das 264 abertas na região; SP concluiu 51 das 57 abertas na região; MG concluiu 25 das 31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352</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321</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264 das 264 ordens, com 245 encerradas. SP tem técnico atribuído em 57 das 57 ordens, com 51 encerradas. MG tem técnico atribuído em 31 das 31 ordens, com 25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245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2026-09-21T15:19:36.525Z</dcterms:created>
  <dcterms:modified xsi:type="dcterms:W3CDTF">2026-09-21T15:19:36.525Z</dcterms:modified>
</cp:coreProperties>
</file>

<file path=docProps/custom.xml><?xml version="1.0" encoding="utf-8"?>
<Properties xmlns="http://schemas.openxmlformats.org/officeDocument/2006/custom-properties" xmlns:vt="http://schemas.openxmlformats.org/officeDocument/2006/docPropsVTypes"/>
</file>