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15 de setembro de 2026   ·   199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199 ordens avaliadas, 169 foram encerradas. PR concluiu 127 das 142 abertas na região; SP concluiu 21 das 31 abertas na região; MG concluiu 21 das 26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199</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169</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5</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12</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140 das 142 ordens, com 127 encerradas. SP tem técnico atribuído em 28 das 31 ordens, com 21 encerradas. MG tem técnico atribuído em 26 das 26 ordens, com 21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142</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31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26</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127</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21</w:t>
            </w:r>
          </w:p>
        </w:tc>
      </w:tr>
    </w:tbl>
    <w:p>
      <w:pPr>
        <w:spacing w:after="120"/>
      </w:pPr>
    </w:p>
    <w:p>
      <w:pPr>
        <w:pStyle w:val="Heading2"/>
        <w:spacing w:before="360" w:after="140"/>
      </w:pPr>
      <w:r>
        <w:rPr>
          <w:rFonts w:ascii="Georgia" w:cs="Georgia" w:eastAsia="Georgia" w:hAnsi="Georgia"/>
          <w:b/>
          <w:bCs/>
          <w:color w:val="101618"/>
          <w:sz w:val="26"/>
          <w:szCs w:val="26"/>
        </w:rPr>
        <w:t xml:space="preserve">Panorama do SP no período</w:t>
      </w:r>
    </w:p>
    <w:p>
      <w:pPr>
        <w:spacing w:before="0" w:after="200" w:line="276"/>
      </w:pPr>
      <w:r>
        <w:rPr>
          <w:rFonts w:ascii="Calibri" w:cs="Calibri" w:eastAsia="Calibri" w:hAnsi="Calibri"/>
          <w:color w:val="37454A"/>
          <w:sz w:val="20"/>
          <w:szCs w:val="20"/>
        </w:rPr>
        <w:t xml:space="preserve">3 ordens estão abertas em 3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(OS-2026-0220, Laranjal Paulista)</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1</w:t>
            </w:r>
          </w:p>
          <w:p>
            <w:pPr>
              <w:spacing w:before="0" w:after="0" w:line="220"/>
            </w:pPr>
            <w:r>
              <w:rPr>
                <w:rFonts w:ascii="Calibri" w:cs="Calibri" w:eastAsia="Calibri" w:hAnsi="Calibri"/>
                <w:color w:val="37454A"/>
                <w:sz w:val="16"/>
                <w:szCs w:val="16"/>
              </w:rPr>
              <w:t xml:space="preserve">de prioridade alta</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2026-09-15T13:51:54.717Z</dcterms:created>
  <dcterms:modified xsi:type="dcterms:W3CDTF">2026-09-15T13:51:54.717Z</dcterms:modified>
</cp:coreProperties>
</file>

<file path=docProps/custom.xml><?xml version="1.0" encoding="utf-8"?>
<Properties xmlns="http://schemas.openxmlformats.org/officeDocument/2006/custom-properties" xmlns:vt="http://schemas.openxmlformats.org/officeDocument/2006/docPropsVTypes"/>
</file>