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14 de setembro de 2026   ·   180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180 ordens avaliadas, 145 foram encerradas. PR concluiu 106 das 126 abertas na região; SP concluiu 18 das 28 abertas na região; MG concluiu 21 das 26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180</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145</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14</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126 das 126 ordens, com 106 encerradas. SP tem técnico atribuído em 28 das 28 ordens, com 18 encerradas. MG tem técnico atribuído em 26 das 26 ordens, com 21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126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21</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2026-09-14T15:14:35.398Z</dcterms:created>
  <dcterms:modified xsi:type="dcterms:W3CDTF">2026-09-14T15:14:35.398Z</dcterms:modified>
</cp:coreProperties>
</file>

<file path=docProps/custom.xml><?xml version="1.0" encoding="utf-8"?>
<Properties xmlns="http://schemas.openxmlformats.org/officeDocument/2006/custom-properties" xmlns:vt="http://schemas.openxmlformats.org/officeDocument/2006/docPropsVTypes"/>
</file>