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27 de setembro de 2026   ·   485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485 ordens avaliadas, 463 foram encerradas. PR concluiu 357 das 368 abertas na região; SP concluiu 72 das 81 abertas na região; MG concluiu 34 das 36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485</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463</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20</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368 das 368 ordens, com 357 encerradas. SP tem técnico atribuído em 81 das 81 ordens, com 72 encerradas. MG tem técnico atribuído em 36 das 36 ordens, com 34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368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81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368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81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357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2026-09-27T14:17:19.423Z</dcterms:created>
  <dcterms:modified xsi:type="dcterms:W3CDTF">2026-09-27T14:17:19.423Z</dcterms:modified>
</cp:coreProperties>
</file>

<file path=docProps/custom.xml><?xml version="1.0" encoding="utf-8"?>
<Properties xmlns="http://schemas.openxmlformats.org/officeDocument/2006/custom-properties" xmlns:vt="http://schemas.openxmlformats.org/officeDocument/2006/docPropsVTypes"/>
</file>