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25 de outubro de 2026   ·   955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955 ordens avaliadas, 915 foram encerradas. PR concluiu 730 das 750 abertas na região; SP concluiu 137 das 151 abertas na região; MG concluiu 48 das 54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955</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915</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4</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37</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749 das 750 ordens, com 730 encerradas. SP tem técnico atribuído em 149 das 151 ordens, com 137 encerradas. MG tem técnico atribuído em 53 das 54 ordens, com 48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750</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151</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54</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749</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149</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53</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730</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137</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48</w:t>
            </w:r>
          </w:p>
        </w:tc>
      </w:tr>
    </w:tbl>
    <w:p>
      <w:pPr>
        <w:spacing w:after="120"/>
      </w:pPr>
    </w:p>
    <w:p>
      <w:pPr>
        <w:pStyle w:val="Heading2"/>
        <w:spacing w:before="360" w:after="140"/>
      </w:pPr>
      <w:r>
        <w:rPr>
          <w:rFonts w:ascii="Georgia" w:cs="Georgia" w:eastAsia="Georgia" w:hAnsi="Georgia"/>
          <w:b/>
          <w:bCs/>
          <w:color w:val="101618"/>
          <w:sz w:val="26"/>
          <w:szCs w:val="26"/>
        </w:rPr>
        <w:t xml:space="preserve">Panorama do SP no período</w:t>
      </w:r>
    </w:p>
    <w:p>
      <w:pPr>
        <w:spacing w:before="0" w:after="200" w:line="276"/>
      </w:pPr>
      <w:r>
        <w:rPr>
          <w:rFonts w:ascii="Calibri" w:cs="Calibri" w:eastAsia="Calibri" w:hAnsi="Calibri"/>
          <w:color w:val="37454A"/>
          <w:sz w:val="20"/>
          <w:szCs w:val="20"/>
        </w:rPr>
        <w:t xml:space="preserve">2 ordens estão abertas em 2 cidades,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0,5</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1</w:t>
            </w:r>
          </w:p>
          <w:p>
            <w:pPr>
              <w:spacing w:before="0" w:after="0" w:line="220"/>
            </w:pPr>
            <w:r>
              <w:rPr>
                <w:rFonts w:ascii="Calibri" w:cs="Calibri" w:eastAsia="Calibri" w:hAnsi="Calibri"/>
                <w:color w:val="37454A"/>
                <w:sz w:val="16"/>
                <w:szCs w:val="16"/>
              </w:rPr>
              <w:t xml:space="preserve">dias da mais antiga (OS-2026-0995, Itapeva)</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1</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1</w:t>
            </w:r>
          </w:p>
          <w:p>
            <w:pPr>
              <w:spacing w:before="0" w:after="0" w:line="220"/>
            </w:pPr>
            <w:r>
              <w:rPr>
                <w:rFonts w:ascii="Calibri" w:cs="Calibri" w:eastAsia="Calibri" w:hAnsi="Calibri"/>
                <w:color w:val="37454A"/>
                <w:sz w:val="16"/>
                <w:szCs w:val="16"/>
              </w:rPr>
              <w:t xml:space="preserve">de prioridade alta</w:t>
            </w:r>
          </w:p>
        </w:tc>
      </w:tr>
    </w:tbl>
    <w:p>
      <w:pPr>
        <w:pStyle w:val="Heading2"/>
        <w:pageBreakBefore/>
        <w:spacing w:after="140"/>
      </w:pPr>
      <w:r>
        <w:rPr>
          <w:rFonts w:ascii="Georgia" w:cs="Georgia" w:eastAsia="Georgia" w:hAnsi="Georgia"/>
          <w:b/>
          <w:bCs/>
          <w:color w:val="101618"/>
          <w:sz w:val="26"/>
          <w:szCs w:val="26"/>
        </w:rPr>
        <w:t xml:space="preserve">Ordens por tipo e estado</w:t>
      </w:r>
    </w:p>
    <w:p>
      <w:pPr>
        <w:spacing w:before="0" w:after="200" w:line="276"/>
      </w:pPr>
      <w:r>
        <w:rPr>
          <w:rFonts w:ascii="Calibri" w:cs="Calibri" w:eastAsia="Calibri" w:hAnsi="Calibri"/>
          <w:color w:val="37454A"/>
          <w:sz w:val="20"/>
          <w:szCs w:val="20"/>
        </w:rPr>
        <w:t xml:space="preserve">Distribuição das ordens pelos modelos de manutenção. Tipos anteriores aos modelos atuais continuam listados, porque as ordens abertas sob eles mantêm o tipo com que nasceram.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579"/>
        <w:gridCol w:w="1579"/>
        <w:gridCol w:w="1580"/>
        <w:gridCol w:w="900"/>
      </w:tblGrid>
      <w:tr>
        <w:tc>
          <w:tcPr>
            <w:tcW w:type="dxa" w:w="40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b/>
                <w:bCs/>
                <w:color w:val="FFFFFF"/>
                <w:sz w:val="18"/>
                <w:szCs w:val="18"/>
              </w:rPr>
              <w:t xml:space="preserve">Tipo de manutenção</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PR</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SP</w:t>
            </w:r>
          </w:p>
        </w:tc>
        <w:tc>
          <w:tcPr>
            <w:tcW w:type="dxa" w:w="158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MG</w:t>
            </w:r>
          </w:p>
        </w:tc>
        <w:tc>
          <w:tcPr>
            <w:tcW w:type="dxa" w:w="9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Calibri" w:cs="Calibri" w:eastAsia="Calibri" w:hAnsi="Calibri"/>
                <w:b/>
                <w:bCs/>
                <w:color w:val="FFFFFF"/>
                <w:sz w:val="18"/>
                <w:szCs w:val="18"/>
              </w:rPr>
              <w:t xml:space="preserve">Total</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Preventiva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417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434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Corretiva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72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238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CTO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38</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35</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85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Problemas de Rede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81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84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Rede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Vistoria Técnica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6</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BKB</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8</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Rede Acesso (GPON)</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Identificação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Preditiva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Instalação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bl>
    <w:p>
      <w:pPr>
        <w:pStyle w:val="Heading2"/>
        <w:spacing w:before="400" w:after="140"/>
      </w:pPr>
      <w:r>
        <w:rPr>
          <w:rFonts w:ascii="Georgia" w:cs="Georgia" w:eastAsia="Georgia" w:hAnsi="Georgia"/>
          <w:b/>
          <w:bCs/>
          <w:color w:val="101618"/>
          <w:sz w:val="26"/>
          <w:szCs w:val="26"/>
        </w:rPr>
        <w:t xml:space="preserve">Atividades por estado</w:t>
      </w:r>
    </w:p>
    <w:p>
      <w:pPr>
        <w:spacing w:before="0" w:after="200" w:line="276"/>
      </w:pPr>
      <w:r>
        <w:rPr>
          <w:rFonts w:ascii="Calibri" w:cs="Calibri" w:eastAsia="Calibri" w:hAnsi="Calibri"/>
          <w:color w:val="37454A"/>
          <w:sz w:val="20"/>
          <w:szCs w:val="20"/>
        </w:rPr>
        <w:t xml:space="preserve">1042 atividades registradas nas 955 ordens avaliadas — contadas na abertura da ordem e no que o técnico acrescentou em campo. É este recorte que permite dimensionar equipe e material por região.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579"/>
        <w:gridCol w:w="1579"/>
        <w:gridCol w:w="1580"/>
        <w:gridCol w:w="900"/>
      </w:tblGrid>
      <w:tr>
        <w:tc>
          <w:tcPr>
            <w:tcW w:type="dxa" w:w="40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b/>
                <w:bCs/>
                <w:color w:val="FFFFFF"/>
                <w:sz w:val="18"/>
                <w:szCs w:val="18"/>
              </w:rPr>
              <w:t xml:space="preserve">Atividade</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PR</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SP</w:t>
            </w:r>
          </w:p>
        </w:tc>
        <w:tc>
          <w:tcPr>
            <w:tcW w:type="dxa" w:w="158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MG</w:t>
            </w:r>
          </w:p>
        </w:tc>
        <w:tc>
          <w:tcPr>
            <w:tcW w:type="dxa" w:w="9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Calibri" w:cs="Calibri" w:eastAsia="Calibri" w:hAnsi="Calibri"/>
                <w:b/>
                <w:bCs/>
                <w:color w:val="FFFFFF"/>
                <w:sz w:val="18"/>
                <w:szCs w:val="18"/>
              </w:rPr>
              <w:t xml:space="preserve">Total</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Quebrada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295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38</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344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Solta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45</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15</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193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Rede sem identificação (plaquetas)</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132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16</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Quebrado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Danificado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não identificada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15</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sem anilha de Identificação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Sem Tampa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20</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Solto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7</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17</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Danificado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com atenuação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Apresenta Infestação de Formigas</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sem identificação (sem nome)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Roubado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7</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Numeração incompleta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6</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Roubado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baixo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com conector quebrado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não identificado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Realocação de poste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Sobra Tec. acomodada indevidamente ou não acomodada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CEO Solta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Cordoalha arrebentada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Cruzamento abaixo de 5m</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solta do poste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Espinação Solta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Faltando BAP</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necessidade de Poda de árvore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2026-10-25T13:21:07.853Z</dcterms:created>
  <dcterms:modified xsi:type="dcterms:W3CDTF">2026-10-25T13:21:07.853Z</dcterms:modified>
</cp:coreProperties>
</file>

<file path=docProps/custom.xml><?xml version="1.0" encoding="utf-8"?>
<Properties xmlns="http://schemas.openxmlformats.org/officeDocument/2006/custom-properties" xmlns:vt="http://schemas.openxmlformats.org/officeDocument/2006/docPropsVTypes"/>
</file>