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11 de setembro de 2026   ·   125 ordens de serviço avaliadas   ·   Redes — PR, MG, SP,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125 ordens avaliadas, 118 foram encerradas. PR concluiu 83 das 83 abertas na região; MG concluiu 21 das 22 abertas na região; SP concluiu 13 das 19 abertas na região; — concluiu 1 das 1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125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118</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83 das 83 ordens, com 83 encerradas. MG tem técnico atribuído em 22 das 22 ordens, com 21 encerradas. SP tem técnico atribuído em 19 das 19 ordens, com 13 encerradas. — tem técnico atribuído em 1 das 1 ordem, com 1 encerrada.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18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18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c>
          <w:tcPr>
            <w:tcW w:type="dxa" w:w="18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18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83</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22</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19</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83</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22</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19</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83</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w:t>
            </w:r>
          </w:p>
        </w:tc>
        <w:tc>
          <w:tcPr>
            <w:tcW w:type="dxa" w:w="18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2026-09-11T13:00:20.648Z</dcterms:created>
  <dcterms:modified xsi:type="dcterms:W3CDTF">2026-09-11T13:00:20.648Z</dcterms:modified>
</cp:coreProperties>
</file>

<file path=docProps/custom.xml><?xml version="1.0" encoding="utf-8"?>
<Properties xmlns="http://schemas.openxmlformats.org/officeDocument/2006/custom-properties" xmlns:vt="http://schemas.openxmlformats.org/officeDocument/2006/docPropsVTypes"/>
</file>