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24 de setembro de 2026   ·   411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411 ordens avaliadas, 382 foram encerradas. PR concluiu 292 das 309 abertas na região; SP concluiu 61 das 68 abertas na região; MG concluiu 29 das 34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411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382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12</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309 das 309 ordens, com 292 encerradas. SP tem técnico atribuído em 68 das 68 ordens, com 61 encerradas. MG tem técnico atribuído em 34 das 34 ordens, com 29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309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34</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309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292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29</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2026-09-24T13:46:54.712Z</dcterms:created>
  <dcterms:modified xsi:type="dcterms:W3CDTF">2026-09-24T13:46:54.712Z</dcterms:modified>
</cp:coreProperties>
</file>

<file path=docProps/custom.xml><?xml version="1.0" encoding="utf-8"?>
<Properties xmlns="http://schemas.openxmlformats.org/officeDocument/2006/custom-properties" xmlns:vt="http://schemas.openxmlformats.org/officeDocument/2006/docPropsVTypes"/>
</file>