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14 de outubro de 2026   ·   791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791 ordens avaliadas, 735 foram encerradas. PR concluiu 587 das 616 abertas na região; SP concluiu 111 das 130 abertas na região; MG concluiu 37 das 45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791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735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15</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34</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602 das 616 ordens, com 587 encerradas. SP tem técnico atribuído em 129 das 130 ordens, com 111 encerradas. MG tem técnico atribuído em 45 das 45 ordens, com 37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616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602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45</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587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111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37</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14 ordens estão abertas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(OS-2026-0821, Prudentópolis)</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2026-10-14T14:01:21.751Z</dcterms:created>
  <dcterms:modified xsi:type="dcterms:W3CDTF">2026-10-14T14:01:21.751Z</dcterms:modified>
</cp:coreProperties>
</file>

<file path=docProps/custom.xml><?xml version="1.0" encoding="utf-8"?>
<Properties xmlns="http://schemas.openxmlformats.org/officeDocument/2006/custom-properties" xmlns:vt="http://schemas.openxmlformats.org/officeDocument/2006/docPropsVTypes"/>
</file>