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16 de setembro de 2026   ·   244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244 ordens avaliadas, 235 foram encerradas. PR concluiu 178 das 180 abertas na região; SP concluiu 32 das 38 abertas na região; MG concluiu 25 das 26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244</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235</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4</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180 das 180 ordens, com 178 encerradas. SP tem técnico atribuído em 38 das 38 ordens, com 32 encerradas. MG tem técnico atribuído em 26 das 26 ordens, com 25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180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180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178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25</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2026-09-16T22:12:01.569Z</dcterms:created>
  <dcterms:modified xsi:type="dcterms:W3CDTF">2026-09-16T22:12:01.569Z</dcterms:modified>
</cp:coreProperties>
</file>

<file path=docProps/custom.xml><?xml version="1.0" encoding="utf-8"?>
<Properties xmlns="http://schemas.openxmlformats.org/officeDocument/2006/custom-properties" xmlns:vt="http://schemas.openxmlformats.org/officeDocument/2006/docPropsVTypes"/>
</file>