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3 de outubro de 2026   ·   645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645 ordens avaliadas, 603 foram encerradas. PR concluiu 476 das 502 abertas na região; SP concluiu 93 das 105 abertas na região; MG concluiu 34 das 38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645</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603</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0</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23</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502 das 502 ordens, com 476 encerradas. SP tem técnico atribuído em 105 das 105 ordens, com 93 encerradas. MG tem técnico atribuído em 38 das 38 ordens, com 34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502</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105</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38</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502</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105</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38</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476</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93</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34</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0 ordens estão abertas em 0 cidades,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 —)</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2026-10-03T13:53:59.539Z</dcterms:created>
  <dcterms:modified xsi:type="dcterms:W3CDTF">2026-10-03T13:53:59.539Z</dcterms:modified>
</cp:coreProperties>
</file>

<file path=docProps/custom.xml><?xml version="1.0" encoding="utf-8"?>
<Properties xmlns="http://schemas.openxmlformats.org/officeDocument/2006/custom-properties" xmlns:vt="http://schemas.openxmlformats.org/officeDocument/2006/docPropsVTypes"/>
</file>