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29 de setembro de 2026   ·   528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528 ordens avaliadas, 504 foram encerradas. PR concluiu 392 das 403 abertas na região; SP concluiu 78 das 89 abertas na região; MG concluiu 34 das 36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528</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504</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2</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16</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402 das 403 ordens, com 392 encerradas. SP tem técnico atribuído em 88 das 89 ordens, com 78 encerradas. MG tem técnico atribuído em 36 das 36 ordens, com 34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403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89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402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88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392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1 ordem está aberta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(OS-2026-0567, Jaguariaíva)</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2026-09-29T15:05:01.538Z</dcterms:created>
  <dcterms:modified xsi:type="dcterms:W3CDTF">2026-09-29T15:05:01.538Z</dcterms:modified>
</cp:coreProperties>
</file>

<file path=docProps/custom.xml><?xml version="1.0" encoding="utf-8"?>
<Properties xmlns="http://schemas.openxmlformats.org/officeDocument/2006/custom-properties" xmlns:vt="http://schemas.openxmlformats.org/officeDocument/2006/docPropsVTypes"/>
</file>