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13 de setembro de 2026   ·   159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159 ordens avaliadas, 144 foram encerradas. PR concluiu 105 das 107 abertas na região; SP concluiu 18 das 27 abertas na região; MG concluiu 21 das 25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159</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144</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11</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107 das 107 ordens, com 105 encerradas. SP tem técnico atribuído em 27 das 27 ordens, com 18 encerradas. MG tem técnico atribuído em 25 das 25 ordens, com 21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107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25</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107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25</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105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21</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2026-09-13T13:27:48.714Z</dcterms:created>
  <dcterms:modified xsi:type="dcterms:W3CDTF">2026-09-13T13:27:48.714Z</dcterms:modified>
</cp:coreProperties>
</file>

<file path=docProps/custom.xml><?xml version="1.0" encoding="utf-8"?>
<Properties xmlns="http://schemas.openxmlformats.org/officeDocument/2006/custom-properties" xmlns:vt="http://schemas.openxmlformats.org/officeDocument/2006/docPropsVTypes"/>
</file>