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 w:line="276"/>
      </w:pPr>
      <w:r>
        <w:rPr>
          <w:rFonts w:ascii="Calibri" w:cs="Calibri" w:eastAsia="Calibri" w:hAnsi="Calibri"/>
          <w:b/>
          <w:bCs/>
          <w:color w:val="1F6F68"/>
          <w:spacing w:val="30"/>
          <w:sz w:val="16"/>
          <w:szCs w:val="16"/>
        </w:rPr>
        <w:t xml:space="preserve">RELATÓRIO DE ADOÇÃO · SURVEYOS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1618"/>
          <w:sz w:val="52"/>
          <w:szCs w:val="52"/>
        </w:rPr>
        <w:t xml:space="preserve">Adoção do SurveyOS</w:t>
      </w:r>
    </w:p>
    <w:p>
      <w:pPr>
        <w:pBdr>
          <w:bottom w:val="single" w:color="D6DEDF" w:sz="4" w:space="8"/>
        </w:pBdr>
        <w:spacing w:before="0" w:after="260" w:line="276"/>
      </w:pPr>
      <w:r>
        <w:rPr>
          <w:rFonts w:ascii="Calibri" w:cs="Calibri" w:eastAsia="Calibri" w:hAnsi="Calibri"/>
          <w:color w:val="667A80"/>
          <w:sz w:val="18"/>
          <w:szCs w:val="18"/>
        </w:rPr>
        <w:t xml:space="preserve">Posição em 2 de setembro de 2026   ·   34 ordens de serviço avaliadas   ·   Redes — PR, MG, 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FFFFFF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0" w:line="320"/>
            </w:pPr>
            <w:r>
              <w:rPr>
                <w:rFonts w:ascii="Georgia" w:cs="Georgia" w:eastAsia="Georgia" w:hAnsi="Georgia"/>
                <w:color w:val="101618"/>
                <w:sz w:val="24"/>
                <w:szCs w:val="24"/>
              </w:rPr>
              <w:t xml:space="preserve">Das 34 ordens avaliadas, 18 foram encerradas. MG concluiu 12 das 13 abertas na região; SP concluiu 4 das 5 abertas na região. Todas as regiões têm técnico atribuído em ao menos uma ordem.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44"/>
                <w:szCs w:val="44"/>
              </w:rPr>
              <w:t xml:space="preserve">34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ORDENS NO PERÍODO</w:t>
            </w:r>
          </w:p>
        </w:tc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44"/>
                <w:szCs w:val="44"/>
              </w:rPr>
              <w:t xml:space="preserve">18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ENCERRADAS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8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SEM TÉCNICO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13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PRAZO VENCIDO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O contraste entre as regiões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PR tem técnico atribuído em 10 das 16 ordens, com 2 encerradas. MG tem técnico atribuído em 12 das 13 ordens, com 12 encerradas. SP tem técnico atribuído em 4 das 5 ordens, com 4 encerradas.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00"/>
        <w:gridCol w:w="2400"/>
        <w:gridCol w:w="2400"/>
      </w:tblGrid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10161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MG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19"/>
                <w:szCs w:val="19"/>
              </w:rPr>
              <w:t xml:space="preserve">Parcial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Ordens no período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16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13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Com técnico atribuído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Encerradas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Panorama do PR no período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6 ordens estão abertas em 4 cidades, sem técnico atribuído. A região já tem técnicos atuando, então o que resta é fila de delegação pendente, não falta de cadastro.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11,5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de espera, em média</w:t>
            </w:r>
          </w:p>
        </w:tc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14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da mais antiga (OS-2026-0032, Andirá)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6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já com prazo vencido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2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de prioridade alta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F" w:sz="4" w:space="6"/>
      </w:pBdr>
      <w:jc w:val="right"/>
    </w:pPr>
    <w:r>
      <w:rPr>
        <w:rFonts w:ascii="Calibri" w:cs="Calibri" w:eastAsia="Calibri" w:hAnsi="Calibri"/>
        <w:color w:val="667A80"/>
        <w:sz w:val="16"/>
        <w:szCs w:val="16"/>
      </w:rPr>
      <w:t xml:space="preserve">SurveyOS · Relatório de adoção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6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2026-09-02T18:50:54.696Z</dcterms:created>
  <dcterms:modified xsi:type="dcterms:W3CDTF">2026-09-02T18:50:54.696Z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