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bookmarkStart w:id="0" w:name="_GoBack"/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bookmarkEnd w:id="0"/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>59)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All right, you have answer already. But that does not work. Let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mw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explain my confusion/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 you say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CARDREC(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HANDLE, &amp;NRETCOUNT);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 think you mean that I need to increment %MAX_CARD-NO%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testRecordSetFindNext_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LLONG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CURRENT_MAX_CARD_NO)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  <w:t xml:space="preserve">NET_IN_FIND_NEXT_RECORD_PARAM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{</w:t>
      </w:r>
      <w:proofErr w:type="spellStart"/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sizeof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)};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stuIn.lFindeHandle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CURRENT_MAX_CARD_NO;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infinite cycle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But there is a problem with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I'v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got 100 Cards with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cardNos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from 1 to 100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5, I get cards from 1 to 5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10,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20,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You see, I always get first 10 cards, and I never get cards from 11 to 20, 21 to 30 and so on.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Thus, I can't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enumarate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If you still stay on your on ground, then prove it and provide us some sample, that lists all cards,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ar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 with numbers less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then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1000 or first 100 cards.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Maybee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there's a bug in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CLIENT_FindNextRecord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?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sectPr w:rsidR="00173681" w:rsidRPr="00173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4296</Words>
  <Characters>24492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19</cp:revision>
  <dcterms:created xsi:type="dcterms:W3CDTF">2014-06-26T23:30:00Z</dcterms:created>
  <dcterms:modified xsi:type="dcterms:W3CDTF">2014-07-02T16:13:00Z</dcterms:modified>
</cp:coreProperties>
</file>