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7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1. Visión general del proyecto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Klassy se plantea como una plataforma integral de gestión escolar. Su propósito no es limitarse al registro de notas, sino centralizar los procesos que una institución educa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tiva necesita durante el año lectivo: configuración institucional, matrícula, planeación curricular, horarios, evaluación, asistencia, convivencia, inclusión, comunicaciones, boletines, recuperaciones, promoción, certificación y seguimiento administrativo.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principio central del sistema es que la información debe registrarse una sola vez y reutilizarse en los procesos que dependen de ella. Por ejemplo, l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 matrícula determina los estudiantes de un grupo; la estructura académica alimenta el horario y la evaluación; el calendario controla los periodos; las notas cerradas alimentan los boletines; y los resultados académicos alimentan recuperación y promoción.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sistema debe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 ser configurable. Una institución puede utilizar diferentes plantillas, escalas, periodos, estructuras de áreas, intensidades horarias, reglas de promoción y procedimientos internos. Por eso estas reglas no deben quedar quemadas directamente en el código.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2. Objetivos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Centralizar la gestión académica y administrativa de la institución.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Reducir la dependencia de documentos, hojas de cálculo y procesos manuales.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Mantener una transición progresiva para docentes que todavía trabajan con Excel o Google Sheets.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Automatizar procesos complejos como horarios, boletines, recuperación y promoción.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Dar trazabilidad a procesos sensibles mediante estados, versiones, aprobaciones y auditoría.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Facilitar el trabajo de docentes, coordinación, rectoría, secretaría, orientación y familias.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configuración por institución sin modificar el núcleo del software.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3. Actores del sistema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tbl>
      <w:tblPr>
        <w:tblStyle w:val="938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4320"/>
        <w:gridCol w:w="4320"/>
      </w:tblGrid>
      <w:tr>
        <w:trPr/>
        <w:tc>
          <w:tcPr>
            <w:shd w:val="clear" w:color="auto" w:fill="d9eaf7"/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Actor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auto" w:fill="d9eaf7"/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Responsabilidad principal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 administrador institucional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Gestión institucional, usuarios, configuración, seguimiento y procesos directivos.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Coordinador académico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Horarios, carga docente, desarrollos curriculares, seguimiento académico y coordinación.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Coordinador de convivencia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Procesos disciplinarios, comité de convivencia y seguimiento de casos.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Docente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Planeación, clases, actividades, notas, asistencia, observaciones, reuniones y desarrollos curriculares.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Orientación / Psicología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Seguimiento, inclusión, PIAR y acompañamiento de estudiantes.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Secretaría académica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Matrículas, certificados, constancias, libros y documentación académica.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Estudiante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Consulta de información académica, actividades, horario, asistencia y recuperación.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Acudiente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Seguimiento del estudiante, comunicaciones, citaciones y consulta de información autorizada.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</w:tbl>
    <w:p w14:paraId="7E777E87">
      <w:pPr>
        <w:pStyle w:val="879"/>
        <w:pBdr/>
        <w:spacing/>
        <w:ind/>
        <w:rPr>
          <w:rFonts w:ascii="Arial" w:hAnsi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  <w:highlight w:val="none"/>
        </w:rPr>
      </w:r>
      <w:r>
        <w:rPr>
          <w:rFonts w:ascii="Arial" w:hAnsi="Arial" w:eastAsia="Arial" w:cs="Arial"/>
          <w:color w:val="ff0000"/>
          <w:sz w:val="24"/>
          <w:szCs w:val="24"/>
          <w:highlight w:val="none"/>
        </w:rPr>
      </w:r>
      <w:r>
        <w:rPr>
          <w:rFonts w:ascii="Arial" w:hAnsi="Arial" w:cs="Arial"/>
          <w:color w:val="ff0000"/>
          <w:sz w:val="24"/>
          <w:szCs w:val="24"/>
        </w:rPr>
      </w:r>
    </w:p>
    <w:p w14:paraId="610F3818">
      <w:pPr>
        <w:pStyle w:val="879"/>
        <w:pBdr/>
        <w:spacing/>
        <w:ind/>
        <w:rPr>
          <w:rFonts w:ascii="Arial" w:hAnsi="Arial" w:eastAsia="Arial" w:cs="Arial"/>
          <w:color w:val="ff0000"/>
          <w:sz w:val="24"/>
          <w:szCs w:val="24"/>
          <w:highlight w:val="none"/>
        </w:rPr>
      </w:pPr>
      <w:r>
        <w:rPr>
          <w:rFonts w:ascii="Arial" w:hAnsi="Arial" w:eastAsia="Arial" w:cs="Arial"/>
          <w:color w:val="ff0000"/>
          <w:sz w:val="24"/>
          <w:szCs w:val="24"/>
          <w:highlight w:val="none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86400" cy="3530278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750353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486398" cy="35302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32.00pt;height:277.97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/>
      <w:r>
        <w:rPr>
          <w:rFonts w:ascii="Arial" w:hAnsi="Arial" w:eastAsia="Arial" w:cs="Arial"/>
          <w:color w:val="ff0000"/>
          <w:sz w:val="24"/>
          <w:szCs w:val="24"/>
          <w:highlight w:val="none"/>
        </w:rPr>
      </w:r>
      <w:r>
        <w:rPr>
          <w:rFonts w:ascii="Arial" w:hAnsi="Arial" w:eastAsia="Arial" w:cs="Arial"/>
          <w:color w:val="ff0000"/>
          <w:sz w:val="24"/>
          <w:szCs w:val="24"/>
          <w:highlight w:val="none"/>
        </w:rPr>
      </w:r>
    </w:p>
    <w:p>
      <w:pPr>
        <w:pStyle w:val="879"/>
        <w:pBdr/>
        <w:spacing/>
        <w:ind/>
        <w:rPr>
          <w:rFonts w:ascii="Arial" w:hAnsi="Arial" w:eastAsia="Arial" w:cs="Arial"/>
          <w:color w:val="ff0000"/>
          <w:sz w:val="24"/>
          <w:szCs w:val="24"/>
          <w:highlight w:val="none"/>
        </w:rPr>
      </w:pPr>
      <w:r>
        <w:rPr>
          <w:rFonts w:ascii="Arial" w:hAnsi="Arial" w:eastAsia="Arial" w:cs="Arial"/>
          <w:color w:val="ff0000"/>
          <w:sz w:val="24"/>
          <w:szCs w:val="24"/>
        </w:rPr>
        <w:t xml:space="preserve">M01. Configuración institucional y estructura académica</w:t>
      </w:r>
      <w:r>
        <w:rPr>
          <w:rFonts w:ascii="Arial" w:hAnsi="Arial" w:cs="Arial"/>
          <w:color w:val="ff0000"/>
          <w:sz w:val="24"/>
          <w:szCs w:val="24"/>
        </w:rPr>
      </w:r>
      <w:r>
        <w:rPr>
          <w:rFonts w:ascii="Arial" w:hAnsi="Arial" w:eastAsia="Arial" w:cs="Arial"/>
          <w:color w:val="ff0000"/>
          <w:sz w:val="24"/>
          <w:szCs w:val="24"/>
          <w:highlight w:val="none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Definir institución, sedes, jornadas y niveles educativos.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Configurar básica primaria, básica secundaria y media, con posibilidad de adaptar la estructura institucional.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Crear grados y grupos, por ejemplo 1°A, 1°B, 10°A, etc.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</w:t>
      </w:r>
      <w:r>
        <w:rPr>
          <w:rFonts w:ascii="Arial" w:hAnsi="Arial" w:eastAsia="Arial" w:cs="Arial"/>
          <w:color w:val="000000" w:themeColor="text1"/>
          <w:sz w:val="24"/>
          <w:szCs w:val="24"/>
          <w:lang w:val="es-CO"/>
        </w:rPr>
        <w:t xml:space="preserve">salones y cupos a los salones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, capacidad y estado de los grupos.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Servir como núcleo para matrícula, horarios, evaluación, asistencia y boletines.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7A034A61">
      <w:pPr>
        <w:pStyle w:val="908"/>
        <w:numPr>
          <w:ilvl w:val="0"/>
          <w:numId w:val="0"/>
        </w:num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32A6C5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Nivel Institución (Común para todas las sedes)Nivel Sede (Específico y local de cada sede)</w:t>
      </w:r>
      <w:r>
        <w:rPr>
          <w:sz w:val="24"/>
          <w:szCs w:val="24"/>
        </w:rPr>
      </w:r>
      <w:r>
        <w:rPr>
          <w:szCs w:val="24"/>
        </w:rPr>
      </w:r>
    </w:p>
    <w:p w14:paraId="1C8D2A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Reglas SIEE (M32):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Escala numérica, equivalencias cualitativas, criterios de pérdida. </w:t>
      </w:r>
      <w:r>
        <w:rPr>
          <w:sz w:val="24"/>
          <w:szCs w:val="24"/>
        </w:rPr>
      </w:r>
      <w:r>
        <w:rPr>
          <w:szCs w:val="24"/>
        </w:rPr>
      </w:r>
    </w:p>
    <w:p w14:paraId="703AD8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Infraestructura (M10):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Salones, laboratorios, canchas y cupos físicos. </w:t>
      </w:r>
      <w:r>
        <w:rPr>
          <w:sz w:val="24"/>
          <w:szCs w:val="24"/>
        </w:rPr>
      </w:r>
      <w:r>
        <w:rPr>
          <w:szCs w:val="24"/>
        </w:rPr>
      </w:r>
    </w:p>
    <w:p w14:paraId="7185EA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Calendario Académico (M05):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Fechas de inicio/fin de periodo y cierres de notas. </w:t>
      </w:r>
      <w:r>
        <w:rPr>
          <w:sz w:val="24"/>
          <w:szCs w:val="24"/>
        </w:rPr>
      </w:r>
      <w:r>
        <w:rPr>
          <w:szCs w:val="24"/>
        </w:rPr>
      </w:r>
    </w:p>
    <w:p w14:paraId="187B18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Jornadas operativas (core_shifts):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La sede A puede tener Jornada Única y la sede B Mañana/Tarde. </w:t>
      </w:r>
      <w:r>
        <w:rPr>
          <w:sz w:val="24"/>
          <w:szCs w:val="24"/>
        </w:rPr>
      </w:r>
      <w:r>
        <w:rPr>
          <w:szCs w:val="24"/>
        </w:rPr>
      </w:r>
    </w:p>
    <w:p w14:paraId="0F5C95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Plan de Estudios (M06):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Áreas, asignaturas y sus ponderaciones porcentuales. </w:t>
      </w:r>
      <w:r>
        <w:rPr>
          <w:sz w:val="24"/>
          <w:szCs w:val="24"/>
        </w:rPr>
      </w:r>
      <w:r>
        <w:rPr>
          <w:szCs w:val="24"/>
        </w:rPr>
      </w:r>
    </w:p>
    <w:p w14:paraId="12707E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Grupos (core_groups):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Grado 10°A en Sede Norte, Grado 10°A en Sede Sur. </w:t>
      </w:r>
      <w:r>
        <w:rPr>
          <w:sz w:val="24"/>
          <w:szCs w:val="24"/>
        </w:rPr>
      </w:r>
      <w:r>
        <w:rPr>
          <w:szCs w:val="24"/>
        </w:rPr>
      </w:r>
    </w:p>
    <w:p w14:paraId="5F7994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Directivas: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Rector/Administrador Institucional y Secretaría general. </w:t>
      </w:r>
      <w:r>
        <w:rPr>
          <w:sz w:val="24"/>
          <w:szCs w:val="24"/>
        </w:rPr>
      </w:r>
      <w:r>
        <w:rPr>
          <w:szCs w:val="24"/>
        </w:rPr>
      </w:r>
    </w:p>
    <w:p w14:paraId="728CF8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Horarios (M09):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La malla de cruces y disponibilidad física. </w:t>
      </w:r>
      <w:r>
        <w:rPr>
          <w:sz w:val="24"/>
          <w:szCs w:val="24"/>
        </w:rPr>
      </w:r>
      <w:r>
        <w:rPr>
          <w:szCs w:val="24"/>
        </w:rPr>
      </w:r>
    </w:p>
    <w:p w14:paraId="4AC3AFCE">
      <w:pPr>
        <w:pStyle w:val="908"/>
        <w:numPr>
          <w:ilvl w:val="0"/>
          <w:numId w:val="0"/>
        </w:num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403DF6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Educación Preescolar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PreescolarPre-jardín, Jardín, </w:t>
      </w: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Transición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</w:t>
      </w:r>
      <w:r>
        <w:rPr>
          <w:rFonts w:ascii="Arial" w:hAnsi="Arial" w:eastAsia="Arial" w:cs="Arial"/>
          <w:i/>
          <w:color w:val="000000"/>
          <w:sz w:val="24"/>
          <w:szCs w:val="24"/>
        </w:rPr>
        <w:t xml:space="preserve">(Obligatorio)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-2,</w:t>
      </w:r>
      <w:r>
        <w:rPr>
          <w:rFonts w:ascii="Arial" w:hAnsi="Arial" w:eastAsia="Arial" w:cs="Arial"/>
          <w:color w:val="000000"/>
          <w:sz w:val="24"/>
          <w:szCs w:val="24"/>
          <w:lang w:val="es-CO"/>
        </w:rPr>
        <w:t xml:space="preserve">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-1, 0</w:t>
      </w:r>
      <w:r>
        <w:rPr>
          <w:sz w:val="24"/>
          <w:szCs w:val="24"/>
        </w:rPr>
      </w:r>
      <w:r>
        <w:rPr>
          <w:szCs w:val="24"/>
        </w:rPr>
      </w:r>
    </w:p>
    <w:p w14:paraId="2FA61E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Educación Básica</w:t>
      </w:r>
      <w:r>
        <w:rPr>
          <w:sz w:val="24"/>
          <w:szCs w:val="24"/>
        </w:rPr>
      </w:r>
      <w:r>
        <w:rPr>
          <w:szCs w:val="24"/>
        </w:rPr>
      </w:r>
    </w:p>
    <w:p w14:paraId="0CB4B4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Básica Primaria</w:t>
      </w:r>
      <w:r>
        <w:rPr>
          <w:sz w:val="24"/>
          <w:szCs w:val="24"/>
        </w:rPr>
      </w:r>
      <w:r>
        <w:rPr>
          <w:szCs w:val="24"/>
        </w:rPr>
      </w:r>
    </w:p>
    <w:p w14:paraId="6F6FCD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Primero (1°), Segundo (2°), Tercero (3°), Cuarto (4°), Quinto (5°)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1, 2, 3, 4, 5</w:t>
      </w:r>
      <w:r>
        <w:rPr>
          <w:rFonts w:ascii="Arial" w:hAnsi="Arial" w:eastAsia="Arial" w:cs="Arial"/>
          <w:sz w:val="24"/>
          <w:szCs w:val="24"/>
        </w:rPr>
      </w:r>
      <w:r>
        <w:rPr>
          <w:szCs w:val="24"/>
        </w:rPr>
      </w:r>
    </w:p>
    <w:p w14:paraId="163D9F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Básica Secundaria</w:t>
      </w:r>
      <w:r>
        <w:rPr>
          <w:sz w:val="24"/>
          <w:szCs w:val="24"/>
        </w:rPr>
      </w:r>
      <w:r>
        <w:rPr>
          <w:szCs w:val="24"/>
        </w:rPr>
      </w:r>
    </w:p>
    <w:p w14:paraId="593020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Sexto (6°), Séptimo (7°), Octavo (8°), Noveno (9°)6, 7, 8, 9</w:t>
      </w:r>
      <w:r>
        <w:rPr>
          <w:sz w:val="24"/>
          <w:szCs w:val="24"/>
        </w:rPr>
      </w:r>
      <w:r>
        <w:rPr>
          <w:szCs w:val="24"/>
        </w:rPr>
      </w:r>
    </w:p>
    <w:p w14:paraId="1D59B2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Educación Media</w:t>
      </w:r>
      <w:r>
        <w:rPr>
          <w:sz w:val="24"/>
          <w:szCs w:val="24"/>
        </w:rPr>
      </w:r>
      <w:r>
        <w:rPr>
          <w:szCs w:val="24"/>
        </w:rPr>
      </w:r>
    </w:p>
    <w:p w14:paraId="397414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Media Académica / Técnica</w:t>
      </w:r>
      <w:r>
        <w:rPr>
          <w:rFonts w:ascii="Arial" w:hAnsi="Arial" w:eastAsia="Arial" w:cs="Arial"/>
          <w:color w:val="000000"/>
          <w:sz w:val="24"/>
          <w:szCs w:val="24"/>
          <w:lang w:val="es-CO"/>
        </w:rPr>
        <w:t xml:space="preserve">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Décimo (10°), </w:t>
      </w:r>
      <w:r>
        <w:rPr>
          <w:rFonts w:ascii="Arial" w:hAnsi="Arial" w:eastAsia="Arial" w:cs="Arial"/>
          <w:color w:val="000000"/>
          <w:sz w:val="24"/>
          <w:szCs w:val="24"/>
          <w:lang w:val="es-CO"/>
        </w:rPr>
        <w:t xml:space="preserve">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Once (11°)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10, 11</w:t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 w14:paraId="3247EE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 w14:paraId="2753738C">
      <w:pPr>
        <w:pStyle w:val="88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4"/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Regla 1: Principio de Datos Centralizados (No Duplicidad)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25BDB4E">
      <w:pPr>
        <w:pStyle w:val="89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La información se crea una sola vez y se consume mediante llaves foráneas. </w:t>
      </w:r>
      <w:r>
        <w:rPr>
          <w:sz w:val="24"/>
          <w:szCs w:val="24"/>
        </w:rPr>
      </w:r>
      <w:r>
        <w:rPr>
          <w:szCs w:val="24"/>
        </w:rPr>
      </w:r>
    </w:p>
    <w:p w14:paraId="1F42DB2E">
      <w:pPr>
        <w:pStyle w:val="89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Flujo de dependencias de datos que debes respetar siempre: </w:t>
      </w:r>
      <w:r>
        <w:rPr>
          <w:sz w:val="24"/>
          <w:szCs w:val="24"/>
        </w:rPr>
      </w:r>
      <w:r>
        <w:rPr>
          <w:szCs w:val="24"/>
        </w:rPr>
      </w:r>
    </w:p>
    <w:p w14:paraId="2CEA6A13">
      <w:pPr>
        <w:pStyle w:val="89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$$\text{Institución} \rightarrow \text{Sedes} \rightarrow \text{Jornadas} \rightarrow \text{Grados} \rightarrow \text{Grupos} \rightarrow \text{Matrícula} \rightarrow \text{Estudiante} \rightarrow \text{Calificaciones/Asistencia} \text{[cite: 3]}$$</w:t>
      </w:r>
      <w:r>
        <w:rPr>
          <w:sz w:val="24"/>
          <w:szCs w:val="24"/>
        </w:rPr>
      </w:r>
      <w:r>
        <w:rPr>
          <w:szCs w:val="24"/>
        </w:rPr>
      </w:r>
    </w:p>
    <w:p w14:paraId="4E36B2FB">
      <w:pPr>
        <w:pStyle w:val="89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Los grupos no son globales: pertenecen estrictamente a una combinación única de branch_id, shift_id y grade_id.</w:t>
      </w:r>
      <w:r>
        <w:rPr>
          <w:sz w:val="24"/>
          <w:szCs w:val="24"/>
        </w:rPr>
      </w:r>
      <w:r>
        <w:rPr>
          <w:szCs w:val="24"/>
        </w:rPr>
      </w:r>
    </w:p>
    <w:p w14:paraId="5F4C027B">
      <w:pPr>
        <w:pStyle w:val="88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4"/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Regla 2: Prohibición Absoluta de Código Quemado (</w:t>
      </w:r>
      <w:r>
        <w:rPr>
          <w:rFonts w:ascii="Arial" w:hAnsi="Arial" w:eastAsia="Arial" w:cs="Arial"/>
          <w:b/>
          <w:i/>
          <w:color w:val="000000"/>
          <w:sz w:val="24"/>
          <w:szCs w:val="24"/>
        </w:rPr>
        <w:t xml:space="preserve">Hardcoding</w:t>
      </w: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E1E4B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Está terminantemente prohibido colocar valores fijos en el código para la lógica académica. Todo debe consultarse desde la configuración institucional (M32): </w:t>
      </w:r>
      <w:r>
        <w:rPr>
          <w:sz w:val="24"/>
          <w:szCs w:val="24"/>
        </w:rPr>
      </w:r>
      <w:r>
        <w:rPr>
          <w:szCs w:val="24"/>
        </w:rPr>
      </w:r>
    </w:p>
    <w:p w14:paraId="178DCB8D">
      <w:pPr>
        <w:pStyle w:val="89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No quemar escalas ni rangos de notas: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No asumas $1.0$ a $5.0$ ni apruebe con $3.0$ en un if. Debe venir parametrizado por la institución. </w:t>
      </w:r>
      <w:r>
        <w:rPr>
          <w:sz w:val="24"/>
          <w:szCs w:val="24"/>
        </w:rPr>
      </w:r>
      <w:r>
        <w:rPr>
          <w:szCs w:val="24"/>
        </w:rPr>
      </w:r>
    </w:p>
    <w:p w14:paraId="5FC3B38C">
      <w:pPr>
        <w:pStyle w:val="89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No quemar periodos: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Prohibido hacer bucles fijos de 4 periodos; pueden ser 3 periodos o variar por calendario A/B. </w:t>
      </w:r>
      <w:r>
        <w:rPr>
          <w:sz w:val="24"/>
          <w:szCs w:val="24"/>
        </w:rPr>
      </w:r>
      <w:r>
        <w:rPr>
          <w:szCs w:val="24"/>
        </w:rPr>
      </w:r>
    </w:p>
    <w:p w14:paraId="0CC4FB89">
      <w:pPr>
        <w:pStyle w:val="89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No quemar reglas de promoción o recuperación: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Las materias reprobadas toleradas, porcentajes de inasistencia para perder y condiciones de promoción anticipada deben leerse desde la base de datos. </w:t>
      </w:r>
      <w:r>
        <w:rPr>
          <w:sz w:val="24"/>
          <w:szCs w:val="24"/>
        </w:rPr>
      </w:r>
      <w:r>
        <w:rPr>
          <w:szCs w:val="24"/>
        </w:rPr>
      </w:r>
    </w:p>
    <w:p w14:paraId="3E1647DA">
      <w:pPr>
        <w:pStyle w:val="89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No quemar ponderaciones de áreas: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Un área calcula su nota a partir del peso porcentual de sus asignaturas configurado en M06, no mediante un promedio simple asumido en el código. </w:t>
      </w:r>
      <w:r>
        <w:rPr>
          <w:sz w:val="24"/>
          <w:szCs w:val="24"/>
        </w:rPr>
      </w:r>
      <w:r>
        <w:rPr>
          <w:szCs w:val="24"/>
        </w:rPr>
      </w:r>
    </w:p>
    <w:p w14:paraId="0A60A171">
      <w:pPr>
        <w:pStyle w:val="88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4"/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Regla 3: Frontera Estricta entre Espacio Físico y Unidad Académica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7EF6627">
      <w:pPr>
        <w:pStyle w:val="89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El Salón (M10)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es un aula física con capacidad de pupitres (paredes, computadores, laboratorio). </w:t>
      </w:r>
      <w:r>
        <w:rPr>
          <w:sz w:val="24"/>
          <w:szCs w:val="24"/>
        </w:rPr>
      </w:r>
      <w:r>
        <w:rPr>
          <w:szCs w:val="24"/>
        </w:rPr>
      </w:r>
    </w:p>
    <w:p w14:paraId="73D20DBC">
      <w:pPr>
        <w:pStyle w:val="89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El Grupo (M01)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es un colectivo de personas (10°A, 11°B) con un cupo administrativo (max_capacity). </w:t>
      </w:r>
      <w:r>
        <w:rPr>
          <w:sz w:val="24"/>
          <w:szCs w:val="24"/>
        </w:rPr>
      </w:r>
      <w:r>
        <w:rPr>
          <w:szCs w:val="24"/>
        </w:rPr>
      </w:r>
    </w:p>
    <w:p w14:paraId="2034A8E8">
      <w:pPr>
        <w:pStyle w:val="89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No hagas que la existencia de un grupo dependa obligatoriamente de tener un salón físico asignado. Un mismo salón físico puede atender al grupo 10°A en la mañana y al 6°B en la tarde. </w:t>
      </w:r>
      <w:r>
        <w:rPr>
          <w:sz w:val="24"/>
          <w:szCs w:val="24"/>
        </w:rPr>
      </w:r>
      <w:r>
        <w:rPr>
          <w:szCs w:val="24"/>
        </w:rPr>
      </w:r>
    </w:p>
    <w:p w14:paraId="587CC717">
      <w:pPr>
        <w:pStyle w:val="88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4"/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Regla 4: Dominio Educativo Colombiano Obligatorio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90D9A82">
      <w:pPr>
        <w:pStyle w:val="89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Los niveles educativos válidos son: PREESCOLAR, PRIMARIA (1° a 5°), SECUNDARIA (6° a 9°) y MEDIA (10° y 11°). </w:t>
      </w:r>
      <w:r>
        <w:rPr>
          <w:sz w:val="24"/>
          <w:szCs w:val="24"/>
        </w:rPr>
      </w:r>
      <w:r>
        <w:rPr>
          <w:szCs w:val="24"/>
        </w:rPr>
      </w:r>
    </w:p>
    <w:p w14:paraId="4A045456">
      <w:pPr>
        <w:pStyle w:val="89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Todo grado debe incluir el campo numeric_order: integer (de 1 a 11) para cálculos de promoción y ordenamiento, evitando el orden alfabético. </w:t>
      </w:r>
      <w:r>
        <w:rPr>
          <w:sz w:val="24"/>
          <w:szCs w:val="24"/>
        </w:rPr>
      </w:r>
      <w:r>
        <w:rPr>
          <w:szCs w:val="24"/>
        </w:rPr>
      </w:r>
    </w:p>
    <w:p w14:paraId="491D1D74">
      <w:pPr>
        <w:pStyle w:val="89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Las jornadas (shifts) pertenecen a la </w:t>
      </w: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Sede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, no a la Institución, y usan los valores: MANANA, TARDE, UNICA, NOCTURNA</w:t>
      </w:r>
      <w:r>
        <w:rPr>
          <w:sz w:val="24"/>
          <w:szCs w:val="24"/>
        </w:rPr>
      </w:r>
      <w:r>
        <w:rPr>
          <w:szCs w:val="24"/>
        </w:rPr>
      </w:r>
    </w:p>
    <w:p w14:paraId="3B875F71">
      <w:pPr>
        <w:pStyle w:val="88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4"/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Alcance Delimitado por Solicitud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65BFCC9">
      <w:pPr>
        <w:pStyle w:val="898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Cuando se te pida desarrollar un módulo, no agregues código, tablas ni endpoints de módulos posteriores. </w:t>
      </w:r>
      <w:r>
        <w:rPr>
          <w:sz w:val="24"/>
          <w:szCs w:val="24"/>
        </w:rPr>
      </w:r>
      <w:r>
        <w:rPr>
          <w:szCs w:val="24"/>
        </w:rPr>
      </w:r>
    </w:p>
    <w:p w14:paraId="25744F61">
      <w:pPr>
        <w:pStyle w:val="898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Si se está solicitando M01, crea únicamente la jerarquía institucional y los grupos. No implementes la lógica de notas (M12), ni de horarios (M09), ni la gestión de usuarios completa (M02) en ese mismo paso. </w:t>
      </w:r>
      <w:r>
        <w:rPr>
          <w:sz w:val="24"/>
          <w:szCs w:val="24"/>
        </w:rPr>
      </w:r>
      <w:r>
        <w:rPr>
          <w:szCs w:val="24"/>
        </w:rPr>
      </w:r>
    </w:p>
    <w:p w14:paraId="53390B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  <w:highlight w:val="none"/>
        </w:rPr>
      </w:r>
      <w:r>
        <w:rPr>
          <w:rFonts w:ascii="Arial" w:hAnsi="Arial" w:eastAsia="Arial" w:cs="Arial"/>
          <w:color w:val="ff0000"/>
          <w:sz w:val="24"/>
          <w:szCs w:val="24"/>
          <w:highlight w:val="none"/>
        </w:rPr>
      </w:r>
      <w:r>
        <w:rPr>
          <w:rFonts w:ascii="Arial" w:hAnsi="Arial" w:eastAsia="Arial" w:cs="Arial"/>
          <w:color w:val="ff0000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 xml:space="preserve">M02. Usuarios, roles y permisos</w:t>
      </w:r>
      <w:r>
        <w:rPr>
          <w:rFonts w:ascii="Arial" w:hAnsi="Arial" w:cs="Arial"/>
          <w:color w:val="ff0000"/>
          <w:sz w:val="24"/>
          <w:szCs w:val="24"/>
        </w:rPr>
      </w:r>
      <w:r>
        <w:rPr>
          <w:rFonts w:ascii="Arial" w:hAnsi="Arial" w:cs="Arial"/>
          <w:color w:val="ff0000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usuarios y perfiles.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Definir permisos por módulo, acción y contexto cuando sea necesario.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Evitar que un usuario pueda modificar información que solamente debe consultar.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acciones críticas para auditoría.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M03. Estudiantes, acudientes e historial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Hoja de vida y datos básicos del estudiante.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Relación con acudientes y contactos autorizados.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Historial de matrículas, grupos, resultados, recuperaciones, promociones y retiros.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Consulta longitudinal de la trayectoria escolar.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M04. Admisiones, matrículas y cupos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Preinscripción, admisión, matrícula, renovación, traslado y retiro.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Control de cupos por grado y grupo.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Documentación asociada a la matrícula.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Alimentar automáticamente las listas utilizadas por notas, asistencia y demás módulos.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M05. Calendario académico y periodos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Soporte para calendarios A y B.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Definir año lectivo, periodos, semanas, vacaciones, recesos, cierres y fechas de recuperación.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Controlar fechas de apertura y cierre de notas.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Servir como referencia temporal para boletines, actividades, recuperaciones y promoción.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M06. Plan de estudios, áreas y asignaturas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Separar conceptualmente área, asignatura/materia, grado, grupo e intensidad horaria.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áreas compuestas por varias asignaturas.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Configurar cómo las asignaturas contribuyen al resultado del área.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Ejemplo: Ciencias Naturales → Biología 50%, Química 30%, Física 20%.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promedio ponderado o aritmético según configuración institucional.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M07. Matriz curricular, DBA y desarrollos curriculares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Incluir un banco precargado de referentes curriculares, DBA y estándares, sujeto a validación y actualización normativa.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seleccionar referentes mediante etiquetas/filtros en lugar de redactar todo desde cero.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Relacionar DBA con grado, área, asignatura y periodo.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docente construye el desarrollo curricular con enseñanzas, competencias, evidencias, actividades, criterios y tiempos.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Workflow: Borrador → Enviado a Coordinación → Devuelto con observaciones → Aprobado.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Conservar versiones anteriores para conocer qué cambió, cuándo y quién lo modificó.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coordinador puede revisar, observar, devolver y aprobar.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M08. Gestor de docentes y carga académica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asignaciones de docentes a grupos y asignaturas.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Controlar horas de clase, dirección de grupo, proyectos pedagógicos y comités.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Mostrar carga asignada, disponibilidad y posibles excesos.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Alimentar directamente al motor de horarios.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Las reglas concretas de carga deben ser configurables y verificarse contra la normativa vigente.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M09. Motor de horarios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grupos, docentes, asignaturas, salones, jornadas, franjas y disponibilidad.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Generar horario por grupo, por docente y vista general institucional.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generación automática y edición manual posterior.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Detectar conflictos antes de publicar el horario.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Restricciones duras: un docente o salón no puede estar en dos lugares a la vez; respetar bloques obligatorios de prácticas.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Restricciones blandas: minimizar horas huecas, distribuir carga y optimizar preferencias institucionales.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registrar preferencias, restricciones y prioridades.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Separar claramente restricciones obligatorias de preferencias optimizables.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M10. Salones, espacios y recursos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aulas, laboratorios, salas de informática, canchas y otros espacios.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capacidad, disponibilidad y recursos.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Definir restricciones por tipo de actividad.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Integrarse con el motor de horarios.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M11. Actividades y planeación de aula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Crear tareas, evaluaciones, trabajos y proyectos.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Relacionar cada actividad con asignatura, grupo, docente y periodo.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Definir publicación, entrega, evidencias y calificación.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Consultar el calendario ADSO/institucional antes de asignar actividades.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M12. Evaluación y notas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Configurar componentes evaluativos y porcentajes.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calificaciones por estudiante, actividad, asignatura y periodo.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Configurar escala institucional, por ejemplo 1.0 a 5.0.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Convertir automáticamente a la escala nacional cualitativa cuando corresponda: Superior, Alto, Básico y Bajo.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Calcular resultados de asignaturas y consolidar áreas.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Controlar estados de notas: borrador, pendiente, cerrado y definitivo.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M13. Asistencia y novedades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Planilla rápida por grupo y fecha.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presente, ausencia, retardo, excusa y otros estados configurables.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justificaciones y evidencias.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Generar estadísticas por estudiante, grupo, asignatura y periodo.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Ofrecer experiencia compatible con planillas tradicionales.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M14. Observaciones y convivencia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observaciones académicas, comportamentales y disciplinarias.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compromisos, citaciones y seguimiento.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Controlar quién puede consultar información sensible.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historial por estudiante.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M15. Comité de Convivencia Escolar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casos de convivencia con tipificación Tipo I, II y III, de acuerdo con la normativa aplicable.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apertura, hechos, involucrados, medidas, mediación, compromisos y seguimiento.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actas del comité.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remisiones a entidades externas cuando corresponda.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el debido proceso y conservar trazabilidad documental.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Los flujos deben configurarse conforme al manual de convivencia y normativa vigente.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M16. PIAR, orientación y apoyo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planes individuales de ajustes razonables (PIAR) y seguimiento de estudiantes que los requieran.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Relacionar ajustes con áreas, actividades y evaluación.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participación de orientación, docentes y responsables autorizados.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evidencias y seguimiento.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Controlar estrictamente los permisos debido a la sensibilidad de la información.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M17. Boletines e informes académicos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Generar boletines por periodo y boletín final.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Constructor de plantillas por institución.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Incluir áreas, asignaturas cuando corresponda, resultados, escala, puesto, inasistencias y observaciones.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observaciones descriptivas preconfiguradas.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Usar resultados académicos cerrados como fuente oficial.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impresión y generación de PDF.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M18. Recuperaciones, nivelaciones y refuerzos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Identificar automáticamente estudiantes que requieren recuperación.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Crear actividades de refuerzo al final de un periodo o del año.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actividades, evidencias y resultados.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Actualizar la situación académica según reglas configuradas.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Conservar el resultado original y el resultado de recuperación para mantener trazabilidad.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M19. Promoción y cierre del año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Clasificar estudiantes al finalizar el año: promovido, reprobado, pendiente de recuperación, retirado, graduado, etc.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promoción por recuperación.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casos de promoción anticipada cuando procedan.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promoción de estudiantes reiniciantes cuando la institución la permita.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Separar claramente resultado académico, decisión de promoción y soporte documental.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Las reglas automáticas deben poder configurarse y validarse frente a la normativa vigente.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M20. Comisión de Evaluación y Promoción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Dashboard para rectoría y coordinación.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Alertas de estudiantes con riesgo académico.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Detección de reprobación masiva por asignatura, grupo o grado.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Análisis de asistencia y desempeño antes del cierre.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reuniones, decisiones y actas de la comisión.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Conservar evidencia de las decisiones adoptadas.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M21. Planillas y formatos institucionales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Constructor de planillas configurables.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encabezados, campos, tablas, firmas, filtros y campos calculados.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Crear formatos para asistencia, seguimiento, reuniones, recuperación, informes y otros procesos.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exportación a PDF, Excel u otros formatos.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M22. Planillas docentes + Excel / Google Sheets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Servir como puente entre la metodología tradicional y la plataforma.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descargar plantillas para trabajar sin conexión.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sincronización por lotes cuando vuelva la conectividad.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Integrar Google Sheets mediante API para determinados formatos.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Utilizar plantillas controladas: celdas editables para datos permitidos y fórmulas protegidas.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Definir una fuente oficial de verdad para evitar conflictos entre la hoja y la base de datos.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sincronización, usuario, fecha, errores y conflictos.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modo offline-first debe contemplar identificación de versión y resolución de conflictos.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M23. Proyectos Pedagógicos Transversales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proyectos institucionales como PRAE, educación sexual, democracia, seguridad vial y otros que la institución defina.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objetivos, responsables, actividades, grupos, evidencias y resultados.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Relacionar proyectos con docentes y carga de trabajo.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que los proyectos sean considerados por el motor de carga y horarios cuando correspondan.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M24. Agenda, reuniones y compromisos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Crear reuniones institucionales o académicas.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fecha, hora, participantes, agenda, acta, observaciones y compromisos.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Asignar responsables y fechas límite.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Dar seguimiento a compromisos pendientes.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M25. Calendario ADSO y eventos externos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Mostrar actividades y eventos relevantes para estudiantes y docentes.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consultar fechas antes de asignar tareas.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Integrar eventos institucionales, académicos y externos.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No debe bloquear automáticamente una actividad salvo que la institución configure esa regla.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M26. Secretaría académica y certificados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Generar certificados de estudio.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Generar constancias de matrícula y otras certificaciones.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paz y salvos cuando aplique.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Libro de Matrícula y su trazabilidad.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plantillas oficiales configurables.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quién generó cada documento y cuándo.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M27. Portal de acudientes y comunicación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Consultar notas, asistencia, boletines y citaciones según permisos.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Notificar inasistencias y novedades relevantes.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Informar faltas disciplinarias y reuniones cuando corresponda.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comunicación formal institución-familia.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notificaciones enviadas y su estado.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M28. Comunicaciones y notificaciones internas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Avisos dirigidos a docentes, estudiantes, acudientes o administrativos.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Recordatorios de cierres, reuniones, desarrollos curriculares y recuperaciones.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Notificaciones por rol y contexto.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Preparar el sistema para integración posterior con correo u otros canales.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M29. Documentos y archivo institucional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Repositorio de documentos asociados a estudiantes, docentes, matrículas, actas y procesos.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Control de versiones.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Permisos por tipo de documento.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Conservar evidencias asociadas a decisiones administrativas y académicas.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M30. Reportes, estadísticas y tableros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Rendimiento por periodo, materia, área, grupo y grado.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Indicadores de asistencia.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Recuperación y promoción.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Matrículas, cupos y estados.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Indicadores para docentes, coordinación y rectoría.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Exportación de reportes para análisis administrativo.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M31. Auditoría e historial de cambios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quién creó, modificó, aprobó o cerró información crítica.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Especial atención a notas, matrículas, promoción, recuperaciones, PIAR, convivencia y desarrollos curriculares.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Conservar fecha, usuario, acción y referencia del registro afectado.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Los registros críticos deben tener trazabilidad suficiente para auditoría.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M32. Configuración de reglas y parámetros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Centralizar escalas, criterios, formatos, estados y reglas institucionales.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Configurar periodos y fechas sin modificar código.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Configurar reglas de promoción y recuperación.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Configurar ponderaciones de áreas.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Configurar restricciones y preferencias del motor de horarios.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que el mismo software pueda adaptarse a distintas instituciones.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br w:type="page" w:clear="all"/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6. Procesos transversales críticos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6.1. Flujo de planeación curricular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Institución configura estructura académica, áreas, asignaturas, grados y periodos.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 dispone del banco curricular y referentes precargados.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Docente selecciona DBA/estándares aplicables.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Docente crea el desarrollo curricular.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Envía a coordinación.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Coordinador revisa y aprueba o devuelve con observaciones.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Docente corrige y vuelve a enviar.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sistema conserva versiones y deja el documento aprobado como referencia oficial.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6.2. Flujo de horario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Configurar jornada y franjas horarias.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grupos, intensidad de asignaturas, docentes y carga.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salones y disponibilidad.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restricciones duras.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preferencias blandas.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Ejecutar generación automática.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Detectar y mostrar conflictos.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ajustes manuales.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Validar nuevamente.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Publicar horarios de docentes y grupos.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6.3. Flujo de evaluación y boletín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Docente registra actividades y componentes evaluativos.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 registran calificaciones.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sistema calcula resultado de la asignatura.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Si existe una estructura de área, consolida las asignaturas según ponderación configurada.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Convierte a la escala cualitativa configurada.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 cierra el periodo.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Coordinación/administración valida los resultados.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sistema genera boletines usando una plantilla institucional.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6.4. Flujo de recuperación y promoción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cierre identifica estudiantes con resultados insuficientes.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 genera el listado de recuperación.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Docente registra actividades de refuerzo y resultados.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 determina el resultado de recuperación.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Comisión de Evaluación y Promoción analiza los casos cuando corresponda.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 toma la decisión de promoción/reprobación.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 registra el acta y soporte de la decisión.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estudiante queda con su estado académico final.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 actualiza el historial para el siguiente año.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7. Integraciones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tbl>
      <w:tblPr>
        <w:tblStyle w:val="938"/>
        <w:tblW w:w="0" w:type="auto"/>
        <w:tblBorders/>
        <w:tblLook w:val="04A0" w:firstRow="1" w:lastRow="0" w:firstColumn="1" w:lastColumn="0" w:noHBand="0" w:noVBand="1"/>
      </w:tblPr>
      <w:tblGrid>
        <w:gridCol w:w="4320"/>
        <w:gridCol w:w="4320"/>
      </w:tblGrid>
      <w:tr>
        <w:trPr/>
        <w:tc>
          <w:tcPr>
            <w:shd w:val="clear" w:color="auto" w:fill="d9eaf7"/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Integración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auto" w:fill="d9eaf7"/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Propósito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Google Sheets API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Sincronización controlada de planillas docentes.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Excel/CSV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Importación/exportación masiva y modo offline.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Generación PDF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Boletines, certificados, actas, planillas e informes.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Correo/notificaciones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Comunicación institucional futura.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Calendarios externos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Posibles integraciones futuras para eventos.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</w:tbl>
    <w:p>
      <w:pPr>
        <w:pStyle w:val="87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8. Principio de datos centralizados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sistema debe evitar duplicar entidades fundamentales. Debe existir una fuente central para estudiantes, docentes, grupos, periodos, materias, áreas, matrículas y demás datos maestros.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Estudiante → Matrícula → Grupo → Horario.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Docente → Asignación → Carga → Horario.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Área → Asignaturas → Evaluación → Resultado del área → Boletín.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Calendario → Periodo → Actividades/Notas/Asistencia → Cierre.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DBA → Desarrollo curricular → Actividades → Evidencias.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Resultado académico → Recuperación → Comisión → Promoción → Historial.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9. Módulos de mayor complejidad técnica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tbl>
      <w:tblPr>
        <w:tblStyle w:val="938"/>
        <w:tblW w:w="0" w:type="auto"/>
        <w:tblBorders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>
        <w:trPr/>
        <w:tc>
          <w:tcPr>
            <w:shd w:val="clear" w:color="auto" w:fill="d9eaf7"/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Módulo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auto" w:fill="d9eaf7"/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Complejidad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auto" w:fill="d9eaf7"/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Motivo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Motor de horarios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Muy alta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Problema de optimización con restricciones duras y blandas.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Planillas / Google Sheets / offline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Alta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Sincronización, conflictos, versiones y conectividad intermitente.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Evaluación + áreas + boletines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Alta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Reglas de cálculo, ponderaciones, escalas y plantillas.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Promoción + recuperación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Alta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Reglas variables, estados, actas e historial.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Matriz curricular / DBA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Media-Alta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Banco curricular, workflow y versionado.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Convivencia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Alta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Debido proceso, permisos, evidencias y trazabilidad.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PIAR / orientación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Alta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Información sensible y relación con evaluación.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Secretaría / certificados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Media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Documentos oficiales, folios y trazabilidad.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</w:tbl>
    <w:p>
      <w:pPr>
        <w:pStyle w:val="87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10. Orden recomendado para diseñar el sistema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Definir reglas institucionales y modelo de datos maestro.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configuración institucional, usuarios y permisos.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estudiantes, acudientes, grados, grupos y matrículas.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calendarios, periodos y plan de estudios.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docentes, asignaciones, salones y carga académica.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Diseñar y validar el motor de horarios.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DBA, matriz curricular y workflow de desarrollos.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actividades, evaluación, notas y asistencia.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boletines e informes.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recuperación, comisión y promoción.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convivencia, orientación y PIAR.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secretaría, certificados y archivo.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planillas, Excel, Google Sheets y offline-first.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proyectos transversales, agenda y calendario ADSO.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comunicaciones, portal de acudientes y notificaciones.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reportes, tableros y auditoría.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Realizar integración, pruebas, revisión normativa y pruebas de aceptación institucional.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11. Reglas que NO deberían quedar quemadas en código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Escala de calificación.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Equivalencias entre escala numérica y escala cualitativa.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Porcentajes de componentes.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Ponderación de asignaturas dentro de áreas.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Número y duración de periodos.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Fechas de cierre y recuperación.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Criterios de aprobación.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Criterios de recuperación.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Criterios de promoción.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Intensidad horaria.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Restricciones y preferencias del horario.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Plantillas de boletines y certificados.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Tipos de observaciones.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Estados de procesos.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Tipos de convivencia y procedimientos institucionales.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12. Consideraciones normativas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Klassy debe diseñarse teniendo en cuenta el marco educativo colomb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iano y las normas que correspondan a evaluación, promoción, convivencia, inclusión, currículo, jornada, protección de datos y gestión documental. Sin embargo, una referencia normativa no debe convertirse automáticamente en una regla inmutable del software.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eastAsia="Arial" w:cs="Arial"/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Antes de implementar reglas automáticas, especialmen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te las relacionadas con carga docente, evaluación, promoción, convivencia, PIAR y conservación documental, se debe validar la versión vigente de la norma y distinguir entre requisitos legales, lineamientos del MEN y reglas particulares de cada institución.</w:t>
      </w: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</w:rPr>
      </w: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</w:rPr>
      </w:r>
    </w:p>
    <w:p w14:paraId="22574CC8"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6BE73F3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Diagrama de casos de uso en UML</w:t>
        <w:br/>
      </w: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@startuml Diagrama_Casos_de_Uso_Klassy</w:t>
      </w:r>
      <w:r/>
    </w:p>
    <w:p w14:paraId="6C3E5D4B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left to right direction</w:t>
      </w:r>
      <w:r/>
    </w:p>
    <w:p w14:paraId="4EC4AA92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skinparam packageStyle rectangle</w:t>
      </w:r>
      <w:r/>
    </w:p>
    <w:p w14:paraId="1F665F7B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skinparam shadowing false</w:t>
      </w:r>
      <w:r/>
    </w:p>
    <w:p w14:paraId="35562BC9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skinparam monochrome false</w:t>
      </w:r>
      <w:r/>
    </w:p>
    <w:p w14:paraId="3A9E8A21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skinparam actorStyle awesome</w:t>
      </w:r>
      <w:r/>
    </w:p>
    <w:p w14:paraId="5CB622A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030F11CA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==========================================</w:t>
      </w:r>
      <w:r/>
    </w:p>
    <w:p w14:paraId="618B1C7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ACTORES DEL SISTEMA</w:t>
      </w:r>
      <w:r/>
    </w:p>
    <w:p w14:paraId="18972EF4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==========================================</w:t>
      </w:r>
      <w:r/>
    </w:p>
    <w:p w14:paraId="7006F912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actor "Administrador" as Admin</w:t>
      </w:r>
      <w:r/>
    </w:p>
    <w:p w14:paraId="6DB6BD0A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actor "Rector" as Rector</w:t>
      </w:r>
      <w:r/>
    </w:p>
    <w:p w14:paraId="07930234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actor "Coordinador" as Coord</w:t>
      </w:r>
      <w:r/>
    </w:p>
    <w:p w14:paraId="55347F7E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actor "Secretaría Académica" as Sec</w:t>
      </w:r>
      <w:r/>
    </w:p>
    <w:p w14:paraId="7967A557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actor "Docente" as Doc</w:t>
      </w:r>
      <w:r/>
    </w:p>
    <w:p w14:paraId="219C3B1B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actor "Docente Orientador" as Ori</w:t>
      </w:r>
      <w:r/>
    </w:p>
    <w:p w14:paraId="7AC33544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actor "Estudiante" as Est</w:t>
      </w:r>
      <w:r/>
    </w:p>
    <w:p w14:paraId="09BD0EA5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actor "Acudiente" as Acu</w:t>
      </w:r>
      <w:r/>
    </w:p>
    <w:p w14:paraId="3357D680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33295913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Herencia de roles para simplificar relaciones</w:t>
      </w:r>
      <w:r/>
    </w:p>
    <w:p w14:paraId="13DD0C27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Doc --|&gt; Ori : &lt;&lt;generaliza&gt;&gt;</w:t>
      </w:r>
      <w:r/>
    </w:p>
    <w:p w14:paraId="657D298B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Admin --|&gt; Rector : &lt;&lt;soporte a&gt;&gt;</w:t>
      </w:r>
      <w:r/>
    </w:p>
    <w:p w14:paraId="0F23EDF3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74014E3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==========================================</w:t>
      </w:r>
      <w:r/>
    </w:p>
    <w:p w14:paraId="78E1E307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SUBSISTEMA 1: CONFIGURACIÓN Y GESTIÓN INSTITUCIONAL (M01, M02, M05, M31, M32)</w:t>
      </w:r>
      <w:r/>
    </w:p>
    <w:p w14:paraId="3A8F886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==========================================</w:t>
      </w:r>
      <w:r/>
    </w:p>
    <w:p w14:paraId="0CEFB19D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rectangle "Subsistema: Configuración y Núcleo Institucional" {</w:t>
      </w:r>
      <w:r/>
    </w:p>
    <w:p w14:paraId="7B07BC9A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"CU-ADM-01: Parametrizar Estructura\nInstitucional (Sedes/Grupos)" as CU_ADM01</w:t>
      </w:r>
      <w:r/>
    </w:p>
    <w:p w14:paraId="21F71FA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"CU-ADM-02: Gestionar Calendario\nAcadémico y Vigencias" as CU_ADM02</w:t>
      </w:r>
      <w:r/>
    </w:p>
    <w:p w14:paraId="42BD8330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"CU-ADM-03: Administrar Usuarios,\nRoles y Permisos" as CU_ADM03</w:t>
      </w:r>
      <w:r/>
    </w:p>
    <w:p w14:paraId="60F6B307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"CU-ADM-04: Parametrizar Reglas\nInstitucionales del SIEE" as CU_ADM04</w:t>
      </w:r>
      <w:r/>
    </w:p>
    <w:p w14:paraId="62C0A681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"CU-ADM-06: Configurar Integración\ncon Google Sheets API" as CU_ADM06</w:t>
      </w:r>
      <w:r/>
    </w:p>
    <w:p w14:paraId="36811DF1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"CU-ADM-07: Monitorear Auditoría\ny Trazabilidad Global" as CU_ADM07</w:t>
      </w:r>
      <w:r/>
    </w:p>
    <w:p w14:paraId="173E5C2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"CU-REC-05: Cerrar Año Lectivo\ny Vigencia Académica" as CU_REC05</w:t>
      </w:r>
      <w:r/>
    </w:p>
    <w:p w14:paraId="72A00CA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7EA6A63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CU_REC05 .&gt; CU_ADM02 : &lt;&lt;extend&gt;&gt;</w:t>
      </w:r>
      <w:r/>
    </w:p>
    <w:p w14:paraId="581602A8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}</w:t>
      </w:r>
      <w:r/>
    </w:p>
    <w:p w14:paraId="407569CD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2EA2E36D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Admin --&gt; CU_ADM01</w:t>
      </w:r>
      <w:r/>
    </w:p>
    <w:p w14:paraId="39FC0BAE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Admin --&gt; CU_ADM02</w:t>
      </w:r>
      <w:r/>
    </w:p>
    <w:p w14:paraId="745B08C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Admin --&gt; CU_ADM03</w:t>
      </w:r>
      <w:r/>
    </w:p>
    <w:p w14:paraId="2CC2B0C2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Admin --&gt; CU_ADM04</w:t>
      </w:r>
      <w:r/>
    </w:p>
    <w:p w14:paraId="72072C55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Admin --&gt; CU_ADM06</w:t>
      </w:r>
      <w:r/>
    </w:p>
    <w:p w14:paraId="6387C17A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Admin --&gt; CU_ADM07</w:t>
      </w:r>
      <w:r/>
    </w:p>
    <w:p w14:paraId="4E6AA2BF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Rector --&gt; CU_REC05</w:t>
      </w:r>
      <w:r/>
    </w:p>
    <w:p w14:paraId="75CA14B0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2E2FBF2B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==========================================</w:t>
      </w:r>
      <w:r/>
    </w:p>
    <w:p w14:paraId="77901C58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SUBSISTEMA 2: ADMISIONES, REGISTRO Y ARCHIVO (M03, M04, M26, M29)</w:t>
      </w:r>
      <w:r/>
    </w:p>
    <w:p w14:paraId="17AA2E9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==========================================</w:t>
      </w:r>
      <w:r/>
    </w:p>
    <w:p w14:paraId="69184B12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rectangle "Subsistema: Admisiones, Secretaría y Archivo" {</w:t>
      </w:r>
      <w:r/>
    </w:p>
    <w:p w14:paraId="6C5B8025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"CU-SEC-01: Gestionar Ciclo de\nMatrícula y Cupos" as CU_SEC01</w:t>
      </w:r>
      <w:r/>
    </w:p>
    <w:p w14:paraId="7E5241F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"CU-SEC-02: Administrar Expediente\ny Hoja de Vida Estudiante" as CU_SEC02</w:t>
      </w:r>
      <w:r/>
    </w:p>
    <w:p w14:paraId="20EB2865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"CU-SEC-03: Generar y Custodiar\nLibro de Matrícula" as CU_SEC03</w:t>
      </w:r>
      <w:r/>
    </w:p>
    <w:p w14:paraId="3BA43ACA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"CU-SEC-04: Expedir Certificados\ny Constancias Oficiales" as CU_SEC04</w:t>
      </w:r>
      <w:r/>
    </w:p>
    <w:p w14:paraId="3384CD51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"CU-SEC-06: Generar Libros de Calificaciones\ny Actas Reglamentarias" as CU_SEC06</w:t>
      </w:r>
      <w:r/>
    </w:p>
    <w:p w14:paraId="41232592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5C81D15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CU_SEC01 .&gt; CU_SEC02 : &lt;&lt;include&gt;&gt;</w:t>
      </w:r>
      <w:r/>
    </w:p>
    <w:p w14:paraId="7E039CC7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CU_SEC01 .&gt; CU_SEC03 : &lt;&lt;include&gt;&gt;</w:t>
      </w:r>
      <w:r/>
    </w:p>
    <w:p w14:paraId="31B9302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}</w:t>
      </w:r>
      <w:r/>
    </w:p>
    <w:p w14:paraId="447B2B17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6914B839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Sec --&gt; CU_SEC01</w:t>
      </w:r>
      <w:r/>
    </w:p>
    <w:p w14:paraId="75F70BB1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Sec --&gt; CU_SEC02</w:t>
      </w:r>
      <w:r/>
    </w:p>
    <w:p w14:paraId="2379BA7F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Sec --&gt; CU_SEC03</w:t>
      </w:r>
      <w:r/>
    </w:p>
    <w:p w14:paraId="57BACC02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Sec --&gt; CU_SEC04</w:t>
      </w:r>
      <w:r/>
    </w:p>
    <w:p w14:paraId="1A8786D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Sec --&gt; CU_SEC06</w:t>
      </w:r>
      <w:r/>
    </w:p>
    <w:p w14:paraId="7272197E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741AA639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==========================================</w:t>
      </w:r>
      <w:r/>
    </w:p>
    <w:p w14:paraId="771283E2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SUBSISTEMA 3: GESTIÓN CURRICULAR, HORARIOS Y CARGA (M06, M07, M08, M09, M10, M23)</w:t>
      </w:r>
      <w:r/>
    </w:p>
    <w:p w14:paraId="6F63D6D8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==========================================</w:t>
      </w:r>
      <w:r/>
    </w:p>
    <w:p w14:paraId="5CDA6089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rectangle "Subsistema: Currículo, Horarios y Carga Docente" {</w:t>
      </w:r>
      <w:r/>
    </w:p>
    <w:p w14:paraId="3F138619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"CU-CRD-01: Gestionar Plan de Estudios\ny Banco de DBA" as CU_CRD01</w:t>
      </w:r>
      <w:r/>
    </w:p>
    <w:p w14:paraId="57EF6968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"CU-DOC-01: Formular Desarrollo Curricular\npor Periodo" as CU_DOC01</w:t>
      </w:r>
      <w:r/>
    </w:p>
    <w:p w14:paraId="7AFAA724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"CU-CRD-02: Revisar y Aprobar\nDesarrollo Curricular" as CU_CRD02</w:t>
      </w:r>
      <w:r/>
    </w:p>
    <w:p w14:paraId="33D7303D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"CU-CRD-03: Asignar Carga Académica\ny Proyectos Transversales" as CU_CRD03</w:t>
      </w:r>
      <w:r/>
    </w:p>
    <w:p w14:paraId="120B69B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"CU-CRD-04: Ejecutar y Ajustar\nMotor de Horarios" as CU_CRD04</w:t>
      </w:r>
      <w:r/>
    </w:p>
    <w:p w14:paraId="5FF346F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"CU-REC-04: Aprobar Distribución\nde Carga Docente" as CU_REC04</w:t>
      </w:r>
      <w:r/>
    </w:p>
    <w:p w14:paraId="1FC15CA4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396B52F2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CU_DOC01 .&gt; CU_CRD01 : &lt;&lt;include&gt;&gt;</w:t>
      </w:r>
      <w:r/>
    </w:p>
    <w:p w14:paraId="65394187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CU_CRD02 .&gt; CU_DOC01 : &lt;&lt;include&gt;&gt;</w:t>
      </w:r>
      <w:r/>
    </w:p>
    <w:p w14:paraId="5133F81A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CU_CRD04 .&gt; CU_CRD03 : &lt;&lt;include&gt;&gt;</w:t>
      </w:r>
      <w:r/>
    </w:p>
    <w:p w14:paraId="0211266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CU_REC04 .&gt; CU_CRD03 : &lt;&lt;extend&gt;&gt;</w:t>
      </w:r>
      <w:r/>
    </w:p>
    <w:p w14:paraId="7CF5625F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}</w:t>
      </w:r>
      <w:r/>
    </w:p>
    <w:p w14:paraId="0B7FD8EB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22CBD0AA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Coord --&gt; CU_CRD01</w:t>
      </w:r>
      <w:r/>
    </w:p>
    <w:p w14:paraId="39B4B820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Coord --&gt; CU_CRD02</w:t>
      </w:r>
      <w:r/>
    </w:p>
    <w:p w14:paraId="5A1E8182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Coord --&gt; CU_CRD03</w:t>
      </w:r>
      <w:r/>
    </w:p>
    <w:p w14:paraId="764D082B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Coord --&gt; CU_CRD04</w:t>
      </w:r>
      <w:r/>
    </w:p>
    <w:p w14:paraId="37F73D37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Doc --&gt; CU_DOC01</w:t>
      </w:r>
      <w:r/>
    </w:p>
    <w:p w14:paraId="1AB0E3B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Rector --&gt; CU_REC04</w:t>
      </w:r>
      <w:r/>
    </w:p>
    <w:p w14:paraId="7A9041AF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7772602E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==========================================</w:t>
      </w:r>
      <w:r/>
    </w:p>
    <w:p w14:paraId="5C6703A3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SUBSISTEMA 4: EVALUACIÓN, SEGUIMIENTO Y SHEETS (M11, M12, M13, M21, M22)</w:t>
      </w:r>
      <w:r/>
    </w:p>
    <w:p w14:paraId="770104B8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==========================================</w:t>
      </w:r>
      <w:r/>
    </w:p>
    <w:p w14:paraId="3000C13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rectangle "Subsistema: Aula, Evaluación y Asistencia" {</w:t>
      </w:r>
      <w:r/>
    </w:p>
    <w:p w14:paraId="1639DFA2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"CU-DOC-02: Programar Actividades\ny Tareas de Aula" as CU_DOC02</w:t>
      </w:r>
      <w:r/>
    </w:p>
    <w:p w14:paraId="2DC83F17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"CU-DOC-03: Calificar Actividades\ny Retroalimentar" as CU_DOC03</w:t>
      </w:r>
      <w:r/>
    </w:p>
    <w:p w14:paraId="1F74A92E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"CU-DOC-04: Registrar Asistencia\nDiaria y Novedades" as CU_DOC04</w:t>
      </w:r>
      <w:r/>
    </w:p>
    <w:p w14:paraId="4CF6F9BF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"CU-DOC-05: Sincronizar Calificaciones\ny Asistencia con Sheets/Excel" as CU_DOC05</w:t>
      </w:r>
      <w:r/>
    </w:p>
    <w:p w14:paraId="15BC2E8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"CU-CRD-05: Controlar Apertura y Cierre\nde Planillas de Notas" as CU_CRD05</w:t>
      </w:r>
      <w:r/>
    </w:p>
    <w:p w14:paraId="51502B10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"CU-EST-03: Enviar Evidencias de Tareas" as CU_EST03</w:t>
      </w:r>
      <w:r/>
    </w:p>
    <w:p w14:paraId="79529A7B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"CU-ACU-02: Justificar Inasistencias con Soportes" as CU_ACU02</w:t>
      </w:r>
      <w:r/>
    </w:p>
    <w:p w14:paraId="3B220E2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0BBCF093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CU_DOC03 .&gt; CU_DOC02 : &lt;&lt;include&gt;&gt;</w:t>
      </w:r>
      <w:r/>
    </w:p>
    <w:p w14:paraId="1C3AE859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CU_DOC05 .&gt; CU_DOC03 : &lt;&lt;extend&gt;&gt;</w:t>
      </w:r>
      <w:r/>
    </w:p>
    <w:p w14:paraId="67038EE1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CU_DOC05 .&gt; CU_DOC04 : &lt;&lt;extend&gt;&gt;</w:t>
      </w:r>
      <w:r/>
    </w:p>
    <w:p w14:paraId="091F3EE4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CU_ACU02 .&gt; CU_DOC04 : &lt;&lt;extend&gt;&gt;</w:t>
      </w:r>
      <w:r/>
    </w:p>
    <w:p w14:paraId="33C1DABB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}</w:t>
      </w:r>
      <w:r/>
    </w:p>
    <w:p w14:paraId="31D4FD1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37908A6B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Doc --&gt; CU_DOC02</w:t>
      </w:r>
      <w:r/>
    </w:p>
    <w:p w14:paraId="20BB914D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Doc --&gt; CU_DOC03</w:t>
      </w:r>
      <w:r/>
    </w:p>
    <w:p w14:paraId="4FB645B1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Doc --&gt; CU_DOC04</w:t>
      </w:r>
      <w:r/>
    </w:p>
    <w:p w14:paraId="2171419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Doc --&gt; CU_DOC05</w:t>
      </w:r>
      <w:r/>
    </w:p>
    <w:p w14:paraId="0A3E4913"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Coord --&gt; CU_CRD05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Courier">
    <w:panose1 w:val="020703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13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12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10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9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11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8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3A11215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03AAC65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9">
    <w:name w:val="Table Grid Light"/>
    <w:basedOn w:val="88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1"/>
    <w:basedOn w:val="88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2"/>
    <w:basedOn w:val="88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1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2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3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4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5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6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1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2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3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4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5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6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1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2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3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4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5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6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4">
    <w:name w:val="footnote text"/>
    <w:basedOn w:val="873"/>
    <w:link w:val="85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5">
    <w:name w:val="Footnote Text Char"/>
    <w:basedOn w:val="887"/>
    <w:link w:val="854"/>
    <w:uiPriority w:val="99"/>
    <w:semiHidden/>
    <w:pPr>
      <w:pBdr/>
      <w:spacing/>
      <w:ind/>
    </w:pPr>
    <w:rPr>
      <w:sz w:val="20"/>
      <w:szCs w:val="20"/>
    </w:rPr>
  </w:style>
  <w:style w:type="character" w:styleId="856">
    <w:name w:val="footnote reference"/>
    <w:basedOn w:val="887"/>
    <w:uiPriority w:val="99"/>
    <w:semiHidden/>
    <w:unhideWhenUsed/>
    <w:pPr>
      <w:pBdr/>
      <w:spacing/>
      <w:ind/>
    </w:pPr>
    <w:rPr>
      <w:vertAlign w:val="superscript"/>
    </w:rPr>
  </w:style>
  <w:style w:type="paragraph" w:styleId="857">
    <w:name w:val="endnote text"/>
    <w:basedOn w:val="873"/>
    <w:link w:val="85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8">
    <w:name w:val="Endnote Text Char"/>
    <w:basedOn w:val="887"/>
    <w:link w:val="857"/>
    <w:uiPriority w:val="99"/>
    <w:semiHidden/>
    <w:pPr>
      <w:pBdr/>
      <w:spacing/>
      <w:ind/>
    </w:pPr>
    <w:rPr>
      <w:sz w:val="20"/>
      <w:szCs w:val="20"/>
    </w:rPr>
  </w:style>
  <w:style w:type="character" w:styleId="859">
    <w:name w:val="endnote reference"/>
    <w:basedOn w:val="887"/>
    <w:uiPriority w:val="99"/>
    <w:semiHidden/>
    <w:unhideWhenUsed/>
    <w:pPr>
      <w:pBdr/>
      <w:spacing/>
      <w:ind/>
    </w:pPr>
    <w:rPr>
      <w:vertAlign w:val="superscript"/>
    </w:rPr>
  </w:style>
  <w:style w:type="character" w:styleId="860">
    <w:name w:val="Hyperlink"/>
    <w:basedOn w:val="88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61">
    <w:name w:val="FollowedHyperlink"/>
    <w:basedOn w:val="88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62">
    <w:name w:val="toc 1"/>
    <w:basedOn w:val="873"/>
    <w:next w:val="873"/>
    <w:uiPriority w:val="39"/>
    <w:unhideWhenUsed/>
    <w:pPr>
      <w:pBdr/>
      <w:spacing w:after="100"/>
      <w:ind/>
    </w:pPr>
  </w:style>
  <w:style w:type="paragraph" w:styleId="863">
    <w:name w:val="toc 2"/>
    <w:basedOn w:val="873"/>
    <w:next w:val="873"/>
    <w:uiPriority w:val="39"/>
    <w:unhideWhenUsed/>
    <w:pPr>
      <w:pBdr/>
      <w:spacing w:after="100"/>
      <w:ind w:left="220"/>
    </w:pPr>
  </w:style>
  <w:style w:type="paragraph" w:styleId="864">
    <w:name w:val="toc 3"/>
    <w:basedOn w:val="873"/>
    <w:next w:val="873"/>
    <w:uiPriority w:val="39"/>
    <w:unhideWhenUsed/>
    <w:pPr>
      <w:pBdr/>
      <w:spacing w:after="100"/>
      <w:ind w:left="440"/>
    </w:pPr>
  </w:style>
  <w:style w:type="paragraph" w:styleId="865">
    <w:name w:val="toc 4"/>
    <w:basedOn w:val="873"/>
    <w:next w:val="873"/>
    <w:uiPriority w:val="39"/>
    <w:unhideWhenUsed/>
    <w:pPr>
      <w:pBdr/>
      <w:spacing w:after="100"/>
      <w:ind w:left="660"/>
    </w:pPr>
  </w:style>
  <w:style w:type="paragraph" w:styleId="866">
    <w:name w:val="toc 5"/>
    <w:basedOn w:val="873"/>
    <w:next w:val="873"/>
    <w:uiPriority w:val="39"/>
    <w:unhideWhenUsed/>
    <w:pPr>
      <w:pBdr/>
      <w:spacing w:after="100"/>
      <w:ind w:left="880"/>
    </w:pPr>
  </w:style>
  <w:style w:type="paragraph" w:styleId="867">
    <w:name w:val="toc 6"/>
    <w:basedOn w:val="873"/>
    <w:next w:val="873"/>
    <w:uiPriority w:val="39"/>
    <w:unhideWhenUsed/>
    <w:pPr>
      <w:pBdr/>
      <w:spacing w:after="100"/>
      <w:ind w:left="1100"/>
    </w:pPr>
  </w:style>
  <w:style w:type="paragraph" w:styleId="868">
    <w:name w:val="toc 7"/>
    <w:basedOn w:val="873"/>
    <w:next w:val="873"/>
    <w:uiPriority w:val="39"/>
    <w:unhideWhenUsed/>
    <w:pPr>
      <w:pBdr/>
      <w:spacing w:after="100"/>
      <w:ind w:left="1320"/>
    </w:pPr>
  </w:style>
  <w:style w:type="paragraph" w:styleId="869">
    <w:name w:val="toc 8"/>
    <w:basedOn w:val="873"/>
    <w:next w:val="873"/>
    <w:uiPriority w:val="39"/>
    <w:unhideWhenUsed/>
    <w:pPr>
      <w:pBdr/>
      <w:spacing w:after="100"/>
      <w:ind w:left="1540"/>
    </w:pPr>
  </w:style>
  <w:style w:type="paragraph" w:styleId="870">
    <w:name w:val="toc 9"/>
    <w:basedOn w:val="873"/>
    <w:next w:val="873"/>
    <w:uiPriority w:val="39"/>
    <w:unhideWhenUsed/>
    <w:pPr>
      <w:pBdr/>
      <w:spacing w:after="100"/>
      <w:ind w:left="1760"/>
    </w:pPr>
  </w:style>
  <w:style w:type="character" w:styleId="871">
    <w:name w:val="Placeholder Text"/>
    <w:basedOn w:val="887"/>
    <w:uiPriority w:val="99"/>
    <w:semiHidden/>
    <w:pPr>
      <w:pBdr/>
      <w:spacing/>
      <w:ind/>
    </w:pPr>
    <w:rPr>
      <w:color w:val="666666"/>
    </w:rPr>
  </w:style>
  <w:style w:type="paragraph" w:styleId="872">
    <w:name w:val="table of figures"/>
    <w:basedOn w:val="873"/>
    <w:next w:val="873"/>
    <w:uiPriority w:val="99"/>
    <w:unhideWhenUsed/>
    <w:pPr>
      <w:pBdr/>
      <w:spacing w:after="0" w:afterAutospacing="0"/>
      <w:ind/>
    </w:pPr>
  </w:style>
  <w:style w:type="paragraph" w:styleId="873" w:default="1">
    <w:name w:val="Normal"/>
    <w:qFormat/>
    <w:pPr>
      <w:pBdr/>
      <w:spacing/>
      <w:ind/>
    </w:pPr>
    <w:rPr>
      <w:rFonts w:ascii="Arial" w:hAnsi="Arial"/>
      <w:sz w:val="20"/>
    </w:rPr>
  </w:style>
  <w:style w:type="paragraph" w:styleId="874">
    <w:name w:val="Header"/>
    <w:basedOn w:val="873"/>
    <w:link w:val="875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5" w:customStyle="1">
    <w:name w:val="Header Char"/>
    <w:basedOn w:val="887"/>
    <w:link w:val="874"/>
    <w:uiPriority w:val="99"/>
    <w:pPr>
      <w:pBdr/>
      <w:spacing/>
      <w:ind/>
    </w:pPr>
  </w:style>
  <w:style w:type="paragraph" w:styleId="876">
    <w:name w:val="Footer"/>
    <w:basedOn w:val="873"/>
    <w:link w:val="877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7" w:customStyle="1">
    <w:name w:val="Footer Char"/>
    <w:basedOn w:val="887"/>
    <w:link w:val="876"/>
    <w:uiPriority w:val="99"/>
    <w:pPr>
      <w:pBdr/>
      <w:spacing/>
      <w:ind/>
    </w:pPr>
  </w:style>
  <w:style w:type="paragraph" w:styleId="878">
    <w:name w:val="Heading 1"/>
    <w:basedOn w:val="873"/>
    <w:next w:val="873"/>
    <w:link w:val="891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9">
    <w:name w:val="Heading 2"/>
    <w:basedOn w:val="873"/>
    <w:next w:val="873"/>
    <w:link w:val="892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80">
    <w:name w:val="Heading 3"/>
    <w:basedOn w:val="873"/>
    <w:next w:val="873"/>
    <w:link w:val="893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81">
    <w:name w:val="Heading 4"/>
    <w:basedOn w:val="873"/>
    <w:next w:val="873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82">
    <w:name w:val="Heading 5"/>
    <w:basedOn w:val="873"/>
    <w:next w:val="873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83">
    <w:name w:val="Heading 6"/>
    <w:basedOn w:val="873"/>
    <w:next w:val="873"/>
    <w:link w:val="923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4">
    <w:name w:val="Heading 7"/>
    <w:basedOn w:val="873"/>
    <w:next w:val="873"/>
    <w:link w:val="924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5">
    <w:name w:val="Heading 8"/>
    <w:basedOn w:val="873"/>
    <w:next w:val="873"/>
    <w:link w:val="925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6">
    <w:name w:val="Heading 9"/>
    <w:basedOn w:val="873"/>
    <w:next w:val="873"/>
    <w:link w:val="926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7" w:default="1">
    <w:name w:val="Default Paragraph Font"/>
    <w:uiPriority w:val="1"/>
    <w:semiHidden/>
    <w:unhideWhenUsed/>
    <w:pPr>
      <w:pBdr/>
      <w:spacing/>
      <w:ind/>
    </w:pPr>
  </w:style>
  <w:style w:type="table" w:styleId="88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9" w:default="1">
    <w:name w:val="No List"/>
    <w:uiPriority w:val="99"/>
    <w:semiHidden/>
    <w:unhideWhenUsed/>
    <w:pPr>
      <w:pBdr/>
      <w:spacing/>
      <w:ind/>
    </w:pPr>
  </w:style>
  <w:style w:type="paragraph" w:styleId="890">
    <w:name w:val="No Spacing"/>
    <w:uiPriority w:val="1"/>
    <w:qFormat/>
    <w:pPr>
      <w:pBdr/>
      <w:spacing w:after="0" w:line="240" w:lineRule="auto"/>
      <w:ind/>
    </w:pPr>
  </w:style>
  <w:style w:type="character" w:styleId="891" w:customStyle="1">
    <w:name w:val="Heading 1 Char"/>
    <w:basedOn w:val="887"/>
    <w:link w:val="878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92" w:customStyle="1">
    <w:name w:val="Heading 2 Char"/>
    <w:basedOn w:val="887"/>
    <w:link w:val="879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93" w:customStyle="1">
    <w:name w:val="Heading 3 Char"/>
    <w:basedOn w:val="887"/>
    <w:link w:val="880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4">
    <w:name w:val="Title"/>
    <w:basedOn w:val="873"/>
    <w:next w:val="873"/>
    <w:link w:val="895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5" w:customStyle="1">
    <w:name w:val="Title Char"/>
    <w:basedOn w:val="887"/>
    <w:link w:val="894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6">
    <w:name w:val="Subtitle"/>
    <w:basedOn w:val="873"/>
    <w:next w:val="873"/>
    <w:link w:val="897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7" w:customStyle="1">
    <w:name w:val="Subtitle Char"/>
    <w:basedOn w:val="887"/>
    <w:link w:val="896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8">
    <w:name w:val="List Paragraph"/>
    <w:basedOn w:val="873"/>
    <w:uiPriority w:val="34"/>
    <w:qFormat/>
    <w:pPr>
      <w:pBdr/>
      <w:spacing/>
      <w:ind w:left="720"/>
      <w:contextualSpacing w:val="true"/>
    </w:pPr>
  </w:style>
  <w:style w:type="paragraph" w:styleId="899">
    <w:name w:val="Body Text"/>
    <w:basedOn w:val="873"/>
    <w:link w:val="900"/>
    <w:uiPriority w:val="99"/>
    <w:unhideWhenUsed/>
    <w:pPr>
      <w:pBdr/>
      <w:spacing w:after="120"/>
      <w:ind/>
    </w:pPr>
  </w:style>
  <w:style w:type="character" w:styleId="900" w:customStyle="1">
    <w:name w:val="Body Text Char"/>
    <w:basedOn w:val="887"/>
    <w:link w:val="899"/>
    <w:uiPriority w:val="99"/>
    <w:pPr>
      <w:pBdr/>
      <w:spacing/>
      <w:ind/>
    </w:pPr>
  </w:style>
  <w:style w:type="paragraph" w:styleId="901">
    <w:name w:val="Body Text 2"/>
    <w:basedOn w:val="873"/>
    <w:link w:val="902"/>
    <w:uiPriority w:val="99"/>
    <w:unhideWhenUsed/>
    <w:pPr>
      <w:pBdr/>
      <w:spacing w:after="120" w:line="480" w:lineRule="auto"/>
      <w:ind/>
    </w:pPr>
  </w:style>
  <w:style w:type="character" w:styleId="902" w:customStyle="1">
    <w:name w:val="Body Text 2 Char"/>
    <w:basedOn w:val="887"/>
    <w:link w:val="901"/>
    <w:uiPriority w:val="99"/>
    <w:pPr>
      <w:pBdr/>
      <w:spacing/>
      <w:ind/>
    </w:pPr>
  </w:style>
  <w:style w:type="paragraph" w:styleId="903">
    <w:name w:val="Body Text 3"/>
    <w:basedOn w:val="873"/>
    <w:link w:val="904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4" w:customStyle="1">
    <w:name w:val="Body Text 3 Char"/>
    <w:basedOn w:val="887"/>
    <w:link w:val="903"/>
    <w:uiPriority w:val="99"/>
    <w:pPr>
      <w:pBdr/>
      <w:spacing/>
      <w:ind/>
    </w:pPr>
    <w:rPr>
      <w:sz w:val="16"/>
      <w:szCs w:val="16"/>
    </w:rPr>
  </w:style>
  <w:style w:type="paragraph" w:styleId="905">
    <w:name w:val="List"/>
    <w:basedOn w:val="873"/>
    <w:uiPriority w:val="99"/>
    <w:unhideWhenUsed/>
    <w:pPr>
      <w:pBdr/>
      <w:spacing/>
      <w:ind w:hanging="360" w:left="360"/>
      <w:contextualSpacing w:val="true"/>
    </w:pPr>
  </w:style>
  <w:style w:type="paragraph" w:styleId="906">
    <w:name w:val="List 2"/>
    <w:basedOn w:val="873"/>
    <w:uiPriority w:val="99"/>
    <w:unhideWhenUsed/>
    <w:pPr>
      <w:pBdr/>
      <w:spacing/>
      <w:ind w:hanging="360" w:left="720"/>
      <w:contextualSpacing w:val="true"/>
    </w:pPr>
  </w:style>
  <w:style w:type="paragraph" w:styleId="907">
    <w:name w:val="List 3"/>
    <w:basedOn w:val="873"/>
    <w:uiPriority w:val="99"/>
    <w:unhideWhenUsed/>
    <w:pPr>
      <w:pBdr/>
      <w:spacing/>
      <w:ind w:hanging="360" w:left="1080"/>
      <w:contextualSpacing w:val="true"/>
    </w:pPr>
  </w:style>
  <w:style w:type="paragraph" w:styleId="908">
    <w:name w:val="List Bullet"/>
    <w:basedOn w:val="873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9">
    <w:name w:val="List Bullet 2"/>
    <w:basedOn w:val="873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10">
    <w:name w:val="List Bullet 3"/>
    <w:basedOn w:val="873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11">
    <w:name w:val="List Number"/>
    <w:basedOn w:val="873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12">
    <w:name w:val="List Number 2"/>
    <w:basedOn w:val="873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13">
    <w:name w:val="List Number 3"/>
    <w:basedOn w:val="873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4">
    <w:name w:val="List Continue"/>
    <w:basedOn w:val="873"/>
    <w:uiPriority w:val="99"/>
    <w:unhideWhenUsed/>
    <w:pPr>
      <w:pBdr/>
      <w:spacing w:after="120"/>
      <w:ind w:left="360"/>
      <w:contextualSpacing w:val="true"/>
    </w:pPr>
  </w:style>
  <w:style w:type="paragraph" w:styleId="915">
    <w:name w:val="List Continue 2"/>
    <w:basedOn w:val="873"/>
    <w:uiPriority w:val="99"/>
    <w:unhideWhenUsed/>
    <w:pPr>
      <w:pBdr/>
      <w:spacing w:after="120"/>
      <w:ind w:left="720"/>
      <w:contextualSpacing w:val="true"/>
    </w:pPr>
  </w:style>
  <w:style w:type="paragraph" w:styleId="916">
    <w:name w:val="List Continue 3"/>
    <w:basedOn w:val="873"/>
    <w:uiPriority w:val="99"/>
    <w:unhideWhenUsed/>
    <w:pPr>
      <w:pBdr/>
      <w:spacing w:after="120"/>
      <w:ind w:left="1080"/>
      <w:contextualSpacing w:val="true"/>
    </w:pPr>
  </w:style>
  <w:style w:type="paragraph" w:styleId="917">
    <w:name w:val="macro"/>
    <w:link w:val="918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8" w:customStyle="1">
    <w:name w:val="Macro Text Char"/>
    <w:basedOn w:val="887"/>
    <w:link w:val="917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9">
    <w:name w:val="Quote"/>
    <w:basedOn w:val="873"/>
    <w:next w:val="873"/>
    <w:link w:val="920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20" w:customStyle="1">
    <w:name w:val="Quote Char"/>
    <w:basedOn w:val="887"/>
    <w:link w:val="919"/>
    <w:uiPriority w:val="29"/>
    <w:pPr>
      <w:pBdr/>
      <w:spacing/>
      <w:ind/>
    </w:pPr>
    <w:rPr>
      <w:i/>
      <w:iCs/>
      <w:color w:val="000000" w:themeColor="text1"/>
    </w:rPr>
  </w:style>
  <w:style w:type="character" w:styleId="921" w:customStyle="1">
    <w:name w:val="Heading 4 Char"/>
    <w:basedOn w:val="887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22" w:customStyle="1">
    <w:name w:val="Heading 5 Char"/>
    <w:basedOn w:val="887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23" w:customStyle="1">
    <w:name w:val="Heading 6 Char"/>
    <w:basedOn w:val="887"/>
    <w:link w:val="883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4" w:customStyle="1">
    <w:name w:val="Heading 7 Char"/>
    <w:basedOn w:val="887"/>
    <w:link w:val="884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5" w:customStyle="1">
    <w:name w:val="Heading 8 Char"/>
    <w:basedOn w:val="887"/>
    <w:link w:val="885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6" w:customStyle="1">
    <w:name w:val="Heading 9 Char"/>
    <w:basedOn w:val="887"/>
    <w:link w:val="886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7">
    <w:name w:val="Caption"/>
    <w:basedOn w:val="873"/>
    <w:next w:val="873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8">
    <w:name w:val="Strong"/>
    <w:basedOn w:val="887"/>
    <w:uiPriority w:val="22"/>
    <w:qFormat/>
    <w:pPr>
      <w:pBdr/>
      <w:spacing/>
      <w:ind/>
    </w:pPr>
    <w:rPr>
      <w:b/>
      <w:bCs/>
    </w:rPr>
  </w:style>
  <w:style w:type="character" w:styleId="929">
    <w:name w:val="Emphasis"/>
    <w:basedOn w:val="887"/>
    <w:uiPriority w:val="20"/>
    <w:qFormat/>
    <w:pPr>
      <w:pBdr/>
      <w:spacing/>
      <w:ind/>
    </w:pPr>
    <w:rPr>
      <w:i/>
      <w:iCs/>
    </w:rPr>
  </w:style>
  <w:style w:type="paragraph" w:styleId="930">
    <w:name w:val="Intense Quote"/>
    <w:basedOn w:val="873"/>
    <w:next w:val="873"/>
    <w:link w:val="931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31" w:customStyle="1">
    <w:name w:val="Intense Quote Char"/>
    <w:basedOn w:val="887"/>
    <w:link w:val="930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32">
    <w:name w:val="Subtle Emphasis"/>
    <w:basedOn w:val="887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33">
    <w:name w:val="Intense Emphasis"/>
    <w:basedOn w:val="887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4">
    <w:name w:val="Subtle Reference"/>
    <w:basedOn w:val="887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5">
    <w:name w:val="Intense Reference"/>
    <w:basedOn w:val="887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6">
    <w:name w:val="Book Title"/>
    <w:basedOn w:val="887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7">
    <w:name w:val="TOC Heading"/>
    <w:basedOn w:val="878"/>
    <w:next w:val="873"/>
    <w:uiPriority w:val="39"/>
    <w:semiHidden/>
    <w:unhideWhenUsed/>
    <w:qFormat/>
    <w:pPr>
      <w:pBdr/>
      <w:spacing/>
      <w:ind/>
      <w:outlineLvl w:val="9"/>
    </w:pPr>
  </w:style>
  <w:style w:type="table" w:styleId="938">
    <w:name w:val="Table Grid"/>
    <w:basedOn w:val="88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"/>
    <w:basedOn w:val="888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1"/>
    <w:basedOn w:val="888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2"/>
    <w:basedOn w:val="888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Shading Accent 3"/>
    <w:basedOn w:val="888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Shading Accent 4"/>
    <w:basedOn w:val="888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Shading Accent 5"/>
    <w:basedOn w:val="888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Shading Accent 6"/>
    <w:basedOn w:val="888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"/>
    <w:basedOn w:val="888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1"/>
    <w:basedOn w:val="888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2"/>
    <w:basedOn w:val="888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List Accent 3"/>
    <w:basedOn w:val="888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List Accent 4"/>
    <w:basedOn w:val="888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List Accent 5"/>
    <w:basedOn w:val="888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List Accent 6"/>
    <w:basedOn w:val="888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"/>
    <w:basedOn w:val="888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1"/>
    <w:basedOn w:val="888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2"/>
    <w:basedOn w:val="888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ght Grid Accent 3"/>
    <w:basedOn w:val="888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ght Grid Accent 4"/>
    <w:basedOn w:val="888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ght Grid Accent 5"/>
    <w:basedOn w:val="888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ght Grid Accent 6"/>
    <w:basedOn w:val="888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"/>
    <w:basedOn w:val="888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1"/>
    <w:basedOn w:val="888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2"/>
    <w:basedOn w:val="888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1 Accent 3"/>
    <w:basedOn w:val="888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1 Accent 4"/>
    <w:basedOn w:val="888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1 Accent 5"/>
    <w:basedOn w:val="888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1 Accent 6"/>
    <w:basedOn w:val="888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"/>
    <w:basedOn w:val="888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1"/>
    <w:basedOn w:val="888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2"/>
    <w:basedOn w:val="888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Shading 2 Accent 3"/>
    <w:basedOn w:val="888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Shading 2 Accent 4"/>
    <w:basedOn w:val="888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Shading 2 Accent 5"/>
    <w:basedOn w:val="888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Shading 2 Accent 6"/>
    <w:basedOn w:val="888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"/>
    <w:basedOn w:val="888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1"/>
    <w:basedOn w:val="888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2"/>
    <w:basedOn w:val="888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1 Accent 3"/>
    <w:basedOn w:val="888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1 Accent 4"/>
    <w:basedOn w:val="888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1 Accent 5"/>
    <w:basedOn w:val="888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1 Accent 6"/>
    <w:basedOn w:val="888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"/>
    <w:basedOn w:val="888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1"/>
    <w:basedOn w:val="888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2"/>
    <w:basedOn w:val="888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List 2 Accent 3"/>
    <w:basedOn w:val="888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List 2 Accent 4"/>
    <w:basedOn w:val="888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List 2 Accent 5"/>
    <w:basedOn w:val="888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List 2 Accent 6"/>
    <w:basedOn w:val="888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"/>
    <w:basedOn w:val="888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1"/>
    <w:basedOn w:val="888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2"/>
    <w:basedOn w:val="888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1 Accent 3"/>
    <w:basedOn w:val="888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1 Accent 4"/>
    <w:basedOn w:val="888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1 Accent 5"/>
    <w:basedOn w:val="888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1 Accent 6"/>
    <w:basedOn w:val="888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"/>
    <w:basedOn w:val="888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1"/>
    <w:basedOn w:val="888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2"/>
    <w:basedOn w:val="888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2 Accent 3"/>
    <w:basedOn w:val="888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2 Accent 4"/>
    <w:basedOn w:val="888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2 Accent 5"/>
    <w:basedOn w:val="888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2 Accent 6"/>
    <w:basedOn w:val="888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"/>
    <w:basedOn w:val="888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1"/>
    <w:basedOn w:val="888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2"/>
    <w:basedOn w:val="888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Medium Grid 3 Accent 3"/>
    <w:basedOn w:val="888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Medium Grid 3 Accent 4"/>
    <w:basedOn w:val="888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Medium Grid 3 Accent 5"/>
    <w:basedOn w:val="888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Medium Grid 3 Accent 6"/>
    <w:basedOn w:val="888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"/>
    <w:basedOn w:val="888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1"/>
    <w:basedOn w:val="888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2"/>
    <w:basedOn w:val="888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Dark List Accent 3"/>
    <w:basedOn w:val="888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Dark List Accent 4"/>
    <w:basedOn w:val="888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Dark List Accent 5"/>
    <w:basedOn w:val="888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Dark List Accent 6"/>
    <w:basedOn w:val="888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"/>
    <w:basedOn w:val="888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1"/>
    <w:basedOn w:val="888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2"/>
    <w:basedOn w:val="888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Shading Accent 3"/>
    <w:basedOn w:val="888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Shading Accent 4"/>
    <w:basedOn w:val="888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Shading Accent 5"/>
    <w:basedOn w:val="888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Shading Accent 6"/>
    <w:basedOn w:val="888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"/>
    <w:basedOn w:val="888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1"/>
    <w:basedOn w:val="888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2"/>
    <w:basedOn w:val="888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List Accent 3"/>
    <w:basedOn w:val="888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List Accent 4"/>
    <w:basedOn w:val="888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List Accent 5"/>
    <w:basedOn w:val="888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List Accent 6"/>
    <w:basedOn w:val="888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"/>
    <w:basedOn w:val="888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1"/>
    <w:basedOn w:val="888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2"/>
    <w:basedOn w:val="888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Colorful Grid Accent 3"/>
    <w:basedOn w:val="888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Colorful Grid Accent 4"/>
    <w:basedOn w:val="888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Colorful Grid Accent 5"/>
    <w:basedOn w:val="888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Colorful Grid Accent 6"/>
    <w:basedOn w:val="888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4</cp:revision>
  <dcterms:created xsi:type="dcterms:W3CDTF">2013-12-23T23:15:00Z</dcterms:created>
  <dcterms:modified xsi:type="dcterms:W3CDTF">2026-09-26T03:03:19Z</dcterms:modified>
  <cp:category/>
</cp:coreProperties>
</file>