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9637" w14:textId="2A0EBA45" w:rsidR="00647530" w:rsidRPr="00647530" w:rsidRDefault="003F6A51" w:rsidP="003C4476">
      <w:pPr>
        <w:jc w:val="center"/>
        <w:rPr>
          <w:rFonts w:asciiTheme="majorHAnsi" w:hAnsiTheme="majorHAnsi"/>
          <w:sz w:val="22"/>
          <w:szCs w:val="22"/>
        </w:rPr>
      </w:pPr>
      <w:r w:rsidRPr="00647530">
        <w:rPr>
          <w:rFonts w:asciiTheme="majorHAnsi" w:hAnsiTheme="majorHAnsi"/>
          <w:sz w:val="36"/>
          <w:szCs w:val="36"/>
        </w:rPr>
        <w:t xml:space="preserve">Coffee </w:t>
      </w:r>
      <w:r w:rsidR="00DE119A">
        <w:rPr>
          <w:rFonts w:asciiTheme="majorHAnsi" w:hAnsiTheme="majorHAnsi"/>
          <w:sz w:val="36"/>
          <w:szCs w:val="36"/>
        </w:rPr>
        <w:t>I</w:t>
      </w:r>
      <w:r w:rsidRPr="00647530">
        <w:rPr>
          <w:rFonts w:asciiTheme="majorHAnsi" w:hAnsiTheme="majorHAnsi"/>
          <w:sz w:val="36"/>
          <w:szCs w:val="36"/>
        </w:rPr>
        <w:t>mportation by Portugal</w:t>
      </w:r>
    </w:p>
    <w:p w14:paraId="63F6361C" w14:textId="35F6C120" w:rsidR="003C4476" w:rsidRPr="00AA0A9A" w:rsidRDefault="003C4476" w:rsidP="00426ED3">
      <w:pPr>
        <w:ind w:firstLine="142"/>
        <w:rPr>
          <w:sz w:val="22"/>
          <w:szCs w:val="22"/>
        </w:rPr>
      </w:pPr>
      <w:r w:rsidRPr="00AA0A9A">
        <w:rPr>
          <w:sz w:val="22"/>
          <w:szCs w:val="22"/>
        </w:rPr>
        <w:t>The main goal of this work will be to forecast the</w:t>
      </w:r>
      <w:r w:rsidR="00692135" w:rsidRPr="00AA0A9A">
        <w:rPr>
          <w:sz w:val="22"/>
          <w:szCs w:val="22"/>
        </w:rPr>
        <w:t xml:space="preserve"> </w:t>
      </w:r>
      <w:r w:rsidRPr="00AA0A9A">
        <w:rPr>
          <w:sz w:val="22"/>
          <w:szCs w:val="22"/>
        </w:rPr>
        <w:t xml:space="preserve">quantity of coffee </w:t>
      </w:r>
      <w:r w:rsidR="00692135" w:rsidRPr="00AA0A9A">
        <w:rPr>
          <w:sz w:val="22"/>
          <w:szCs w:val="22"/>
        </w:rPr>
        <w:t xml:space="preserve">imported </w:t>
      </w:r>
      <w:r w:rsidRPr="00AA0A9A">
        <w:rPr>
          <w:sz w:val="22"/>
          <w:szCs w:val="22"/>
        </w:rPr>
        <w:t xml:space="preserve">by </w:t>
      </w:r>
      <w:r w:rsidR="00692135" w:rsidRPr="00AA0A9A">
        <w:rPr>
          <w:sz w:val="22"/>
          <w:szCs w:val="22"/>
        </w:rPr>
        <w:t>Portugal</w:t>
      </w:r>
      <w:r w:rsidRPr="00AA0A9A">
        <w:rPr>
          <w:sz w:val="22"/>
          <w:szCs w:val="22"/>
        </w:rPr>
        <w:t xml:space="preserve"> for a specific time series, having as base the chosen dataset which was sourced from </w:t>
      </w:r>
      <w:r w:rsidRPr="00AA0A9A">
        <w:rPr>
          <w:i/>
          <w:iCs/>
          <w:sz w:val="22"/>
          <w:szCs w:val="22"/>
        </w:rPr>
        <w:t>Eurostat</w:t>
      </w:r>
      <w:r w:rsidRPr="00AA0A9A">
        <w:rPr>
          <w:sz w:val="22"/>
          <w:szCs w:val="22"/>
        </w:rPr>
        <w:t>.</w:t>
      </w:r>
    </w:p>
    <w:p w14:paraId="6FC39519" w14:textId="2B12F106" w:rsidR="003C4476" w:rsidRPr="00AA0A9A" w:rsidRDefault="00692135" w:rsidP="00426ED3">
      <w:pPr>
        <w:ind w:firstLine="142"/>
        <w:rPr>
          <w:sz w:val="22"/>
          <w:szCs w:val="22"/>
        </w:rPr>
      </w:pPr>
      <w:r w:rsidRPr="00AA0A9A">
        <w:rPr>
          <w:sz w:val="22"/>
          <w:szCs w:val="22"/>
        </w:rPr>
        <w:t xml:space="preserve">More concretely, </w:t>
      </w:r>
      <w:r w:rsidR="003C4476" w:rsidRPr="00AA0A9A">
        <w:rPr>
          <w:sz w:val="22"/>
          <w:szCs w:val="22"/>
        </w:rPr>
        <w:t xml:space="preserve">this dataset compiles the quantity, measured in kilograms (Kg), of imported coffee by Portugal in the period that goes from January 2002 to December 2024. More precisely, the quantity is measured in a monthly basis and after a first look reveals significant trends and fluctuations, which </w:t>
      </w:r>
      <w:r w:rsidR="00372063" w:rsidRPr="00AA0A9A">
        <w:rPr>
          <w:sz w:val="22"/>
          <w:szCs w:val="22"/>
        </w:rPr>
        <w:t xml:space="preserve">can </w:t>
      </w:r>
      <w:r w:rsidR="003C4476" w:rsidRPr="00AA0A9A">
        <w:rPr>
          <w:sz w:val="22"/>
          <w:szCs w:val="22"/>
        </w:rPr>
        <w:t xml:space="preserve">provide some insights </w:t>
      </w:r>
      <w:r w:rsidR="00372063" w:rsidRPr="00AA0A9A">
        <w:rPr>
          <w:sz w:val="22"/>
          <w:szCs w:val="22"/>
        </w:rPr>
        <w:t>not only on</w:t>
      </w:r>
      <w:r w:rsidR="003C4476" w:rsidRPr="00AA0A9A">
        <w:rPr>
          <w:sz w:val="22"/>
          <w:szCs w:val="22"/>
        </w:rPr>
        <w:t xml:space="preserve"> Portugal’s coffee import </w:t>
      </w:r>
      <w:r w:rsidR="00372063" w:rsidRPr="00AA0A9A">
        <w:rPr>
          <w:sz w:val="22"/>
          <w:szCs w:val="22"/>
        </w:rPr>
        <w:t xml:space="preserve">patterns but also on its coffee consumption patterns since, in a way, they’re both intrinsically correlated. </w:t>
      </w:r>
    </w:p>
    <w:p w14:paraId="4409241F" w14:textId="55D45838" w:rsidR="00372063" w:rsidRPr="00AA0A9A" w:rsidRDefault="00372063" w:rsidP="00426ED3">
      <w:pPr>
        <w:ind w:firstLine="142"/>
        <w:rPr>
          <w:sz w:val="22"/>
          <w:szCs w:val="22"/>
        </w:rPr>
      </w:pPr>
      <w:r w:rsidRPr="00AA0A9A">
        <w:rPr>
          <w:sz w:val="22"/>
          <w:szCs w:val="22"/>
        </w:rPr>
        <w:t xml:space="preserve">The main reason behind this topic </w:t>
      </w:r>
      <w:r w:rsidR="001166C5" w:rsidRPr="00AA0A9A">
        <w:rPr>
          <w:sz w:val="22"/>
          <w:szCs w:val="22"/>
        </w:rPr>
        <w:t>consists in</w:t>
      </w:r>
      <w:r w:rsidRPr="00AA0A9A">
        <w:rPr>
          <w:sz w:val="22"/>
          <w:szCs w:val="22"/>
        </w:rPr>
        <w:t xml:space="preserve"> th</w:t>
      </w:r>
      <w:r w:rsidR="001166C5" w:rsidRPr="00AA0A9A">
        <w:rPr>
          <w:sz w:val="22"/>
          <w:szCs w:val="22"/>
        </w:rPr>
        <w:t>e</w:t>
      </w:r>
      <w:r w:rsidRPr="00AA0A9A">
        <w:rPr>
          <w:sz w:val="22"/>
          <w:szCs w:val="22"/>
        </w:rPr>
        <w:t xml:space="preserve"> country being well known for its high consumption and how highly this good is regarded by most of Portugal’s population.</w:t>
      </w:r>
    </w:p>
    <w:p w14:paraId="401912F5" w14:textId="60600173" w:rsidR="00372063" w:rsidRPr="00AA0A9A" w:rsidRDefault="00372063" w:rsidP="00DF2ED9">
      <w:pPr>
        <w:ind w:firstLine="142"/>
        <w:rPr>
          <w:sz w:val="22"/>
          <w:szCs w:val="22"/>
        </w:rPr>
      </w:pPr>
      <w:r w:rsidRPr="00AA0A9A">
        <w:rPr>
          <w:sz w:val="22"/>
          <w:szCs w:val="22"/>
        </w:rPr>
        <w:t>The analysis of the data was intentionall</w:t>
      </w:r>
      <w:r w:rsidR="00DF2ED9" w:rsidRPr="00AA0A9A">
        <w:rPr>
          <w:sz w:val="22"/>
          <w:szCs w:val="22"/>
        </w:rPr>
        <w:t xml:space="preserve">y limited (which can be seen in the </w:t>
      </w:r>
      <w:r w:rsidR="00692135" w:rsidRPr="00AA0A9A">
        <w:rPr>
          <w:sz w:val="22"/>
          <w:szCs w:val="22"/>
        </w:rPr>
        <w:t>E</w:t>
      </w:r>
      <w:r w:rsidR="00DF2ED9" w:rsidRPr="00AA0A9A">
        <w:rPr>
          <w:sz w:val="22"/>
          <w:szCs w:val="22"/>
        </w:rPr>
        <w:t>xcel file with the data) to December 2019</w:t>
      </w:r>
      <w:r w:rsidR="001166C5" w:rsidRPr="00AA0A9A">
        <w:rPr>
          <w:sz w:val="22"/>
          <w:szCs w:val="22"/>
        </w:rPr>
        <w:t xml:space="preserve"> </w:t>
      </w:r>
      <w:proofErr w:type="gramStart"/>
      <w:r w:rsidR="001166C5" w:rsidRPr="00AA0A9A">
        <w:rPr>
          <w:sz w:val="22"/>
          <w:szCs w:val="22"/>
        </w:rPr>
        <w:t>in order to</w:t>
      </w:r>
      <w:proofErr w:type="gramEnd"/>
      <w:r w:rsidR="001166C5" w:rsidRPr="00AA0A9A">
        <w:rPr>
          <w:sz w:val="22"/>
          <w:szCs w:val="22"/>
        </w:rPr>
        <w:t xml:space="preserve"> avoid any disruptions caused by COVID-19 pandemic, since this event impacted global trade and supply chains in the early 2020.</w:t>
      </w:r>
      <w:r w:rsidR="00AA0A9A" w:rsidRPr="00AA0A9A">
        <w:rPr>
          <w:sz w:val="22"/>
          <w:szCs w:val="22"/>
        </w:rPr>
        <w:t xml:space="preserve"> Furthermore, to complete a 15-year period and avoid an excessively extensive dataset, the </w:t>
      </w:r>
      <w:r w:rsidR="00AA0A9A">
        <w:rPr>
          <w:sz w:val="22"/>
          <w:szCs w:val="22"/>
        </w:rPr>
        <w:t xml:space="preserve">considered </w:t>
      </w:r>
      <w:r w:rsidR="00AA0A9A" w:rsidRPr="00AA0A9A">
        <w:rPr>
          <w:sz w:val="22"/>
          <w:szCs w:val="22"/>
        </w:rPr>
        <w:t xml:space="preserve">starting point will be January 2005. </w:t>
      </w:r>
      <w:r w:rsidR="001166C5" w:rsidRPr="00AA0A9A">
        <w:rPr>
          <w:sz w:val="22"/>
          <w:szCs w:val="22"/>
        </w:rPr>
        <w:t xml:space="preserve"> This leads to a total of 180 months of data and ensures structural integrity for the time series analysis and forecasting by removing any possible noise introduced by the pandemic.</w:t>
      </w:r>
    </w:p>
    <w:p w14:paraId="1AF593CC" w14:textId="0F241F68" w:rsidR="00AD376E" w:rsidRPr="00AA0A9A" w:rsidRDefault="001A3EBB" w:rsidP="001A3EBB">
      <w:pPr>
        <w:ind w:firstLine="142"/>
        <w:rPr>
          <w:sz w:val="22"/>
          <w:szCs w:val="22"/>
        </w:rPr>
      </w:pPr>
      <w:r w:rsidRPr="00AA0A9A">
        <w:rPr>
          <w:sz w:val="22"/>
          <w:szCs w:val="22"/>
        </w:rPr>
        <w:t>All this allows for a good foundation to identify trends, seasonal effects, and cyclical patterns in coffee importation. In terms of seasonality, for example, it can be</w:t>
      </w:r>
      <w:r w:rsidR="001166C5" w:rsidRPr="00AA0A9A">
        <w:rPr>
          <w:sz w:val="22"/>
          <w:szCs w:val="22"/>
        </w:rPr>
        <w:t xml:space="preserve"> easy to </w:t>
      </w:r>
      <w:r w:rsidRPr="00AA0A9A">
        <w:rPr>
          <w:sz w:val="22"/>
          <w:szCs w:val="22"/>
        </w:rPr>
        <w:t>recognise by observing that</w:t>
      </w:r>
      <w:r w:rsidR="001166C5" w:rsidRPr="00AA0A9A">
        <w:rPr>
          <w:sz w:val="22"/>
          <w:szCs w:val="22"/>
        </w:rPr>
        <w:t xml:space="preserve"> certain months </w:t>
      </w:r>
      <w:r w:rsidRPr="00AA0A9A">
        <w:rPr>
          <w:sz w:val="22"/>
          <w:szCs w:val="22"/>
        </w:rPr>
        <w:t>exhibit consistently</w:t>
      </w:r>
      <w:r w:rsidR="001166C5" w:rsidRPr="00AA0A9A">
        <w:rPr>
          <w:sz w:val="22"/>
          <w:szCs w:val="22"/>
        </w:rPr>
        <w:t xml:space="preserve"> higher import volumes</w:t>
      </w:r>
      <w:r w:rsidR="00687E9B">
        <w:rPr>
          <w:sz w:val="22"/>
          <w:szCs w:val="22"/>
        </w:rPr>
        <w:t>, but this will be furtherly addressed in the future.</w:t>
      </w:r>
    </w:p>
    <w:p w14:paraId="26D560D4" w14:textId="41B0D98E" w:rsidR="00AD376E" w:rsidRDefault="001A3EBB" w:rsidP="001A3EBB">
      <w:pPr>
        <w:ind w:firstLine="142"/>
        <w:jc w:val="center"/>
      </w:pPr>
      <w:r>
        <w:rPr>
          <w:noProof/>
        </w:rPr>
        <mc:AlternateContent>
          <mc:Choice Requires="wps">
            <w:drawing>
              <wp:anchor distT="45720" distB="45720" distL="114300" distR="114300" simplePos="0" relativeHeight="251659264" behindDoc="0" locked="0" layoutInCell="1" allowOverlap="1" wp14:anchorId="68E16407" wp14:editId="7424DD0D">
                <wp:simplePos x="0" y="0"/>
                <wp:positionH relativeFrom="margin">
                  <wp:posOffset>349794</wp:posOffset>
                </wp:positionH>
                <wp:positionV relativeFrom="paragraph">
                  <wp:posOffset>2796086</wp:posOffset>
                </wp:positionV>
                <wp:extent cx="4831080" cy="1404620"/>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1080" cy="1404620"/>
                        </a:xfrm>
                        <a:prstGeom prst="rect">
                          <a:avLst/>
                        </a:prstGeom>
                        <a:noFill/>
                        <a:ln w="9525">
                          <a:noFill/>
                          <a:miter lim="800000"/>
                          <a:headEnd/>
                          <a:tailEnd/>
                        </a:ln>
                      </wps:spPr>
                      <wps:txbx>
                        <w:txbxContent>
                          <w:p w14:paraId="23D5E4B9" w14:textId="6B060DA7" w:rsidR="00AD376E" w:rsidRPr="00AD376E" w:rsidRDefault="00AD376E" w:rsidP="001A3EBB">
                            <w:pPr>
                              <w:jc w:val="center"/>
                              <w:rPr>
                                <w:i/>
                                <w:iCs/>
                                <w:sz w:val="22"/>
                                <w:szCs w:val="22"/>
                              </w:rPr>
                            </w:pPr>
                            <w:r w:rsidRPr="00AD376E">
                              <w:rPr>
                                <w:i/>
                                <w:iCs/>
                                <w:sz w:val="22"/>
                                <w:szCs w:val="22"/>
                              </w:rPr>
                              <w:t>Figure 1: Monthly Coffee Importation in Portugal (2005–2019)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E16407" id="_x0000_t202" coordsize="21600,21600" o:spt="202" path="m,l,21600r21600,l21600,xe">
                <v:stroke joinstyle="miter"/>
                <v:path gradientshapeok="t" o:connecttype="rect"/>
              </v:shapetype>
              <v:shape id="Text Box 2" o:spid="_x0000_s1026" type="#_x0000_t202" style="position:absolute;left:0;text-align:left;margin-left:27.55pt;margin-top:220.15pt;width:380.4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" filled="f" stroked="f">
                <v:textbox style="mso-fit-shape-to-text:t">
                  <w:txbxContent>
                    <w:p w14:paraId="23D5E4B9" w14:textId="6B060DA7" w:rsidR="00AD376E" w:rsidRPr="00AD376E" w:rsidRDefault="00AD376E" w:rsidP="001A3EBB">
                      <w:pPr>
                        <w:jc w:val="center"/>
                        <w:rPr>
                          <w:i/>
                          <w:iCs/>
                          <w:sz w:val="22"/>
                          <w:szCs w:val="22"/>
                        </w:rPr>
                      </w:pPr>
                      <w:r w:rsidRPr="00AD376E">
                        <w:rPr>
                          <w:i/>
                          <w:iCs/>
                          <w:sz w:val="22"/>
                          <w:szCs w:val="22"/>
                        </w:rPr>
                        <w:t>Figure 1: Monthly Coffee Importation in Portugal (2005–2019)</w:t>
                      </w:r>
                    </w:p>
                  </w:txbxContent>
                </v:textbox>
                <w10:wrap type="square" anchorx="margin"/>
              </v:shape>
            </w:pict>
          </mc:Fallback>
        </mc:AlternateContent>
      </w:r>
      <w:r w:rsidR="00736F5E">
        <w:rPr>
          <w:noProof/>
        </w:rPr>
        <w:drawing>
          <wp:inline distT="0" distB="0" distL="0" distR="0" wp14:anchorId="27E82638" wp14:editId="32C19C71">
            <wp:extent cx="4916471" cy="2717800"/>
            <wp:effectExtent l="0" t="0" r="0" b="6350"/>
            <wp:docPr id="1353685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5969"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6011" r="4191" b="4820"/>
                    <a:stretch/>
                  </pic:blipFill>
                  <pic:spPr bwMode="auto">
                    <a:xfrm>
                      <a:off x="0" y="0"/>
                      <a:ext cx="4966517" cy="2745465"/>
                    </a:xfrm>
                    <a:prstGeom prst="rect">
                      <a:avLst/>
                    </a:prstGeom>
                    <a:noFill/>
                    <a:ln>
                      <a:noFill/>
                    </a:ln>
                    <a:extLst>
                      <a:ext uri="{53640926-AAD7-44D8-BBD7-CCE9431645EC}">
                        <a14:shadowObscured xmlns:a14="http://schemas.microsoft.com/office/drawing/2010/main"/>
                      </a:ext>
                    </a:extLst>
                  </pic:spPr>
                </pic:pic>
              </a:graphicData>
            </a:graphic>
          </wp:inline>
        </w:drawing>
      </w:r>
    </w:p>
    <w:p w14:paraId="684856F5" w14:textId="77777777" w:rsidR="000C39B5" w:rsidRDefault="000C39B5" w:rsidP="001A3EBB">
      <w:pPr>
        <w:ind w:firstLine="142"/>
        <w:jc w:val="center"/>
      </w:pPr>
    </w:p>
    <w:p w14:paraId="4B0B984D" w14:textId="77777777" w:rsidR="000C39B5" w:rsidRDefault="000C39B5" w:rsidP="001A3EBB">
      <w:pPr>
        <w:ind w:firstLine="142"/>
        <w:jc w:val="center"/>
      </w:pPr>
    </w:p>
    <w:p w14:paraId="307E56A1" w14:textId="1A49AE81" w:rsidR="00814E81" w:rsidRDefault="003171B7">
      <w:pPr>
        <w:rPr>
          <w:rStyle w:val="Hyperlink"/>
          <w:i/>
          <w:iCs/>
        </w:rPr>
      </w:pPr>
      <w:r w:rsidRPr="003171B7">
        <w:rPr>
          <w:i/>
          <w:iCs/>
        </w:rPr>
        <w:lastRenderedPageBreak/>
        <w:t>Eurostat. (2025). International trade of EU and non-EU countries since 2002 by HS2-4-6 [Dataset]. European Commission. Retrieved</w:t>
      </w:r>
      <w:r>
        <w:rPr>
          <w:i/>
          <w:iCs/>
        </w:rPr>
        <w:t xml:space="preserve"> February 20</w:t>
      </w:r>
      <w:r w:rsidRPr="003171B7">
        <w:rPr>
          <w:i/>
          <w:iCs/>
        </w:rPr>
        <w:t xml:space="preserve">, </w:t>
      </w:r>
      <w:r>
        <w:rPr>
          <w:i/>
          <w:iCs/>
        </w:rPr>
        <w:t xml:space="preserve">2025, </w:t>
      </w:r>
      <w:r w:rsidRPr="003171B7">
        <w:rPr>
          <w:i/>
          <w:iCs/>
        </w:rPr>
        <w:t>from </w:t>
      </w:r>
      <w:hyperlink r:id="rId5" w:tgtFrame="_blank" w:history="1">
        <w:r w:rsidRPr="003171B7">
          <w:rPr>
            <w:rStyle w:val="Hyperlink"/>
            <w:i/>
            <w:iCs/>
          </w:rPr>
          <w:t>https://ec.europa.eu/eurostat/databrowser/view/ds-059341__custom_15553171/default/table?lang=en</w:t>
        </w:r>
      </w:hyperlink>
    </w:p>
    <w:p w14:paraId="63804B76" w14:textId="77777777" w:rsidR="00AD376E" w:rsidRPr="00AD376E" w:rsidRDefault="00AD376E" w:rsidP="00AD376E"/>
    <w:p w14:paraId="49A8DB01" w14:textId="77777777" w:rsidR="00AD376E" w:rsidRPr="00AD376E" w:rsidRDefault="00AD376E" w:rsidP="00AD376E"/>
    <w:p w14:paraId="3FF3FC5E" w14:textId="77777777" w:rsidR="00AD376E" w:rsidRPr="00AD376E" w:rsidRDefault="00AD376E" w:rsidP="00AD376E"/>
    <w:p w14:paraId="4CEA8369" w14:textId="77777777" w:rsidR="00AD376E" w:rsidRPr="00AD376E" w:rsidRDefault="00AD376E" w:rsidP="00AD376E"/>
    <w:p w14:paraId="7A11289B" w14:textId="77777777" w:rsidR="00AD376E" w:rsidRDefault="00AD376E" w:rsidP="00AD376E">
      <w:pPr>
        <w:rPr>
          <w:rStyle w:val="Hyperlink"/>
          <w:i/>
          <w:iCs/>
        </w:rPr>
      </w:pPr>
    </w:p>
    <w:p w14:paraId="33615C44" w14:textId="0D29FC5D" w:rsidR="00AD376E" w:rsidRPr="00AD376E" w:rsidRDefault="00AD376E" w:rsidP="00AD376E"/>
    <w:sectPr w:rsidR="00AD376E" w:rsidRPr="00AD376E" w:rsidSect="00B15E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49"/>
    <w:rsid w:val="00056138"/>
    <w:rsid w:val="000B0D4B"/>
    <w:rsid w:val="000C020C"/>
    <w:rsid w:val="000C39B5"/>
    <w:rsid w:val="001166C5"/>
    <w:rsid w:val="001A3EBB"/>
    <w:rsid w:val="00260249"/>
    <w:rsid w:val="003171B7"/>
    <w:rsid w:val="00372063"/>
    <w:rsid w:val="003C4476"/>
    <w:rsid w:val="003E6F96"/>
    <w:rsid w:val="003F6A51"/>
    <w:rsid w:val="0041222C"/>
    <w:rsid w:val="00426ED3"/>
    <w:rsid w:val="00606909"/>
    <w:rsid w:val="00647530"/>
    <w:rsid w:val="00687E9B"/>
    <w:rsid w:val="00692135"/>
    <w:rsid w:val="00736F5E"/>
    <w:rsid w:val="007D674F"/>
    <w:rsid w:val="00814E81"/>
    <w:rsid w:val="00856DB8"/>
    <w:rsid w:val="009B72D0"/>
    <w:rsid w:val="00A97A92"/>
    <w:rsid w:val="00AA0A9A"/>
    <w:rsid w:val="00AD376E"/>
    <w:rsid w:val="00B15E8C"/>
    <w:rsid w:val="00DE119A"/>
    <w:rsid w:val="00DF2ED9"/>
    <w:rsid w:val="00EC3FE2"/>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6FF0"/>
  <w15:chartTrackingRefBased/>
  <w15:docId w15:val="{798676DA-88EE-4CAD-9563-5857CD8F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249"/>
    <w:rPr>
      <w:rFonts w:eastAsiaTheme="majorEastAsia" w:cstheme="majorBidi"/>
      <w:color w:val="272727" w:themeColor="text1" w:themeTint="D8"/>
    </w:rPr>
  </w:style>
  <w:style w:type="paragraph" w:styleId="Title">
    <w:name w:val="Title"/>
    <w:basedOn w:val="Normal"/>
    <w:next w:val="Normal"/>
    <w:link w:val="TitleChar"/>
    <w:uiPriority w:val="10"/>
    <w:qFormat/>
    <w:rsid w:val="00260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249"/>
    <w:pPr>
      <w:spacing w:before="160"/>
      <w:jc w:val="center"/>
    </w:pPr>
    <w:rPr>
      <w:i/>
      <w:iCs/>
      <w:color w:val="404040" w:themeColor="text1" w:themeTint="BF"/>
    </w:rPr>
  </w:style>
  <w:style w:type="character" w:customStyle="1" w:styleId="QuoteChar">
    <w:name w:val="Quote Char"/>
    <w:basedOn w:val="DefaultParagraphFont"/>
    <w:link w:val="Quote"/>
    <w:uiPriority w:val="29"/>
    <w:rsid w:val="00260249"/>
    <w:rPr>
      <w:i/>
      <w:iCs/>
      <w:color w:val="404040" w:themeColor="text1" w:themeTint="BF"/>
    </w:rPr>
  </w:style>
  <w:style w:type="paragraph" w:styleId="ListParagraph">
    <w:name w:val="List Paragraph"/>
    <w:basedOn w:val="Normal"/>
    <w:uiPriority w:val="34"/>
    <w:qFormat/>
    <w:rsid w:val="00260249"/>
    <w:pPr>
      <w:ind w:left="720"/>
      <w:contextualSpacing/>
    </w:pPr>
  </w:style>
  <w:style w:type="character" w:styleId="IntenseEmphasis">
    <w:name w:val="Intense Emphasis"/>
    <w:basedOn w:val="DefaultParagraphFont"/>
    <w:uiPriority w:val="21"/>
    <w:qFormat/>
    <w:rsid w:val="00260249"/>
    <w:rPr>
      <w:i/>
      <w:iCs/>
      <w:color w:val="0F4761" w:themeColor="accent1" w:themeShade="BF"/>
    </w:rPr>
  </w:style>
  <w:style w:type="paragraph" w:styleId="IntenseQuote">
    <w:name w:val="Intense Quote"/>
    <w:basedOn w:val="Normal"/>
    <w:next w:val="Normal"/>
    <w:link w:val="IntenseQuoteChar"/>
    <w:uiPriority w:val="30"/>
    <w:qFormat/>
    <w:rsid w:val="00260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249"/>
    <w:rPr>
      <w:i/>
      <w:iCs/>
      <w:color w:val="0F4761" w:themeColor="accent1" w:themeShade="BF"/>
    </w:rPr>
  </w:style>
  <w:style w:type="character" w:styleId="IntenseReference">
    <w:name w:val="Intense Reference"/>
    <w:basedOn w:val="DefaultParagraphFont"/>
    <w:uiPriority w:val="32"/>
    <w:qFormat/>
    <w:rsid w:val="00260249"/>
    <w:rPr>
      <w:b/>
      <w:bCs/>
      <w:smallCaps/>
      <w:color w:val="0F4761" w:themeColor="accent1" w:themeShade="BF"/>
      <w:spacing w:val="5"/>
    </w:rPr>
  </w:style>
  <w:style w:type="character" w:styleId="Hyperlink">
    <w:name w:val="Hyperlink"/>
    <w:basedOn w:val="DefaultParagraphFont"/>
    <w:uiPriority w:val="99"/>
    <w:unhideWhenUsed/>
    <w:rsid w:val="00814E81"/>
    <w:rPr>
      <w:color w:val="467886" w:themeColor="hyperlink"/>
      <w:u w:val="single"/>
    </w:rPr>
  </w:style>
  <w:style w:type="character" w:styleId="UnresolvedMention">
    <w:name w:val="Unresolved Mention"/>
    <w:basedOn w:val="DefaultParagraphFont"/>
    <w:uiPriority w:val="99"/>
    <w:semiHidden/>
    <w:unhideWhenUsed/>
    <w:rsid w:val="00814E81"/>
    <w:rPr>
      <w:color w:val="605E5C"/>
      <w:shd w:val="clear" w:color="auto" w:fill="E1DFDD"/>
    </w:rPr>
  </w:style>
  <w:style w:type="paragraph" w:styleId="NormalWeb">
    <w:name w:val="Normal (Web)"/>
    <w:basedOn w:val="Normal"/>
    <w:uiPriority w:val="99"/>
    <w:semiHidden/>
    <w:unhideWhenUsed/>
    <w:rsid w:val="00426E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3555">
      <w:bodyDiv w:val="1"/>
      <w:marLeft w:val="0"/>
      <w:marRight w:val="0"/>
      <w:marTop w:val="0"/>
      <w:marBottom w:val="0"/>
      <w:divBdr>
        <w:top w:val="none" w:sz="0" w:space="0" w:color="auto"/>
        <w:left w:val="none" w:sz="0" w:space="0" w:color="auto"/>
        <w:bottom w:val="none" w:sz="0" w:space="0" w:color="auto"/>
        <w:right w:val="none" w:sz="0" w:space="0" w:color="auto"/>
      </w:divBdr>
    </w:div>
    <w:div w:id="462626012">
      <w:bodyDiv w:val="1"/>
      <w:marLeft w:val="0"/>
      <w:marRight w:val="0"/>
      <w:marTop w:val="0"/>
      <w:marBottom w:val="0"/>
      <w:divBdr>
        <w:top w:val="none" w:sz="0" w:space="0" w:color="auto"/>
        <w:left w:val="none" w:sz="0" w:space="0" w:color="auto"/>
        <w:bottom w:val="none" w:sz="0" w:space="0" w:color="auto"/>
        <w:right w:val="none" w:sz="0" w:space="0" w:color="auto"/>
      </w:divBdr>
    </w:div>
    <w:div w:id="649284393">
      <w:bodyDiv w:val="1"/>
      <w:marLeft w:val="0"/>
      <w:marRight w:val="0"/>
      <w:marTop w:val="0"/>
      <w:marBottom w:val="0"/>
      <w:divBdr>
        <w:top w:val="none" w:sz="0" w:space="0" w:color="auto"/>
        <w:left w:val="none" w:sz="0" w:space="0" w:color="auto"/>
        <w:bottom w:val="none" w:sz="0" w:space="0" w:color="auto"/>
        <w:right w:val="none" w:sz="0" w:space="0" w:color="auto"/>
      </w:divBdr>
    </w:div>
    <w:div w:id="857348368">
      <w:bodyDiv w:val="1"/>
      <w:marLeft w:val="0"/>
      <w:marRight w:val="0"/>
      <w:marTop w:val="0"/>
      <w:marBottom w:val="0"/>
      <w:divBdr>
        <w:top w:val="none" w:sz="0" w:space="0" w:color="auto"/>
        <w:left w:val="none" w:sz="0" w:space="0" w:color="auto"/>
        <w:bottom w:val="none" w:sz="0" w:space="0" w:color="auto"/>
        <w:right w:val="none" w:sz="0" w:space="0" w:color="auto"/>
      </w:divBdr>
      <w:divsChild>
        <w:div w:id="663515365">
          <w:marLeft w:val="-720"/>
          <w:marRight w:val="0"/>
          <w:marTop w:val="0"/>
          <w:marBottom w:val="0"/>
          <w:divBdr>
            <w:top w:val="none" w:sz="0" w:space="0" w:color="auto"/>
            <w:left w:val="none" w:sz="0" w:space="0" w:color="auto"/>
            <w:bottom w:val="none" w:sz="0" w:space="0" w:color="auto"/>
            <w:right w:val="none" w:sz="0" w:space="0" w:color="auto"/>
          </w:divBdr>
        </w:div>
      </w:divsChild>
    </w:div>
    <w:div w:id="1099180772">
      <w:bodyDiv w:val="1"/>
      <w:marLeft w:val="0"/>
      <w:marRight w:val="0"/>
      <w:marTop w:val="0"/>
      <w:marBottom w:val="0"/>
      <w:divBdr>
        <w:top w:val="none" w:sz="0" w:space="0" w:color="auto"/>
        <w:left w:val="none" w:sz="0" w:space="0" w:color="auto"/>
        <w:bottom w:val="none" w:sz="0" w:space="0" w:color="auto"/>
        <w:right w:val="none" w:sz="0" w:space="0" w:color="auto"/>
      </w:divBdr>
    </w:div>
    <w:div w:id="1266501644">
      <w:bodyDiv w:val="1"/>
      <w:marLeft w:val="0"/>
      <w:marRight w:val="0"/>
      <w:marTop w:val="0"/>
      <w:marBottom w:val="0"/>
      <w:divBdr>
        <w:top w:val="none" w:sz="0" w:space="0" w:color="auto"/>
        <w:left w:val="none" w:sz="0" w:space="0" w:color="auto"/>
        <w:bottom w:val="none" w:sz="0" w:space="0" w:color="auto"/>
        <w:right w:val="none" w:sz="0" w:space="0" w:color="auto"/>
      </w:divBdr>
    </w:div>
    <w:div w:id="1514496249">
      <w:bodyDiv w:val="1"/>
      <w:marLeft w:val="0"/>
      <w:marRight w:val="0"/>
      <w:marTop w:val="0"/>
      <w:marBottom w:val="0"/>
      <w:divBdr>
        <w:top w:val="none" w:sz="0" w:space="0" w:color="auto"/>
        <w:left w:val="none" w:sz="0" w:space="0" w:color="auto"/>
        <w:bottom w:val="none" w:sz="0" w:space="0" w:color="auto"/>
        <w:right w:val="none" w:sz="0" w:space="0" w:color="auto"/>
      </w:divBdr>
    </w:div>
    <w:div w:id="1653098510">
      <w:bodyDiv w:val="1"/>
      <w:marLeft w:val="0"/>
      <w:marRight w:val="0"/>
      <w:marTop w:val="0"/>
      <w:marBottom w:val="0"/>
      <w:divBdr>
        <w:top w:val="none" w:sz="0" w:space="0" w:color="auto"/>
        <w:left w:val="none" w:sz="0" w:space="0" w:color="auto"/>
        <w:bottom w:val="none" w:sz="0" w:space="0" w:color="auto"/>
        <w:right w:val="none" w:sz="0" w:space="0" w:color="auto"/>
      </w:divBdr>
    </w:div>
    <w:div w:id="1715274390">
      <w:bodyDiv w:val="1"/>
      <w:marLeft w:val="0"/>
      <w:marRight w:val="0"/>
      <w:marTop w:val="0"/>
      <w:marBottom w:val="0"/>
      <w:divBdr>
        <w:top w:val="none" w:sz="0" w:space="0" w:color="auto"/>
        <w:left w:val="none" w:sz="0" w:space="0" w:color="auto"/>
        <w:bottom w:val="none" w:sz="0" w:space="0" w:color="auto"/>
        <w:right w:val="none" w:sz="0" w:space="0" w:color="auto"/>
      </w:divBdr>
      <w:divsChild>
        <w:div w:id="917328310">
          <w:marLeft w:val="-720"/>
          <w:marRight w:val="0"/>
          <w:marTop w:val="0"/>
          <w:marBottom w:val="0"/>
          <w:divBdr>
            <w:top w:val="none" w:sz="0" w:space="0" w:color="auto"/>
            <w:left w:val="none" w:sz="0" w:space="0" w:color="auto"/>
            <w:bottom w:val="none" w:sz="0" w:space="0" w:color="auto"/>
            <w:right w:val="none" w:sz="0" w:space="0" w:color="auto"/>
          </w:divBdr>
        </w:div>
      </w:divsChild>
    </w:div>
    <w:div w:id="187199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c.europa.eu/eurostat/databrowser/view/ds-059341__custom_15553171/default/table?lang=en" TargetMode="Externa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Henrique Couto Ferreira</dc:creator>
  <cp:keywords/>
  <dc:description/>
  <cp:lastModifiedBy>Luis Henrique Couto Ferreira</cp:lastModifiedBy>
  <cp:revision>13</cp:revision>
  <cp:lastPrinted>2025-03-02T19:11:00Z</cp:lastPrinted>
  <dcterms:created xsi:type="dcterms:W3CDTF">2025-02-25T15:51:00Z</dcterms:created>
  <dcterms:modified xsi:type="dcterms:W3CDTF">2025-03-02T19:11:00Z</dcterms:modified>
</cp:coreProperties>
</file>