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40"/>
        </w:rPr>
        <w:t>DOCUMENTACIÓN DE LA TESIS</w:t>
      </w:r>
    </w:p>
    <w:p/>
    <w:p>
      <w:pPr>
        <w:jc w:val="center"/>
      </w:pPr>
      <w:r>
        <w:rPr>
          <w:rFonts w:ascii="Times New Roman" w:hAnsi="Times New Roman"/>
          <w:sz w:val="28"/>
        </w:rPr>
        <w:t>Modelo Predictivo del Consumo Energético en Hogares Inteligentes</w:t>
        <w:br/>
        <w:t>Utilizando Algoritmos de Machine Learning</w:t>
      </w:r>
    </w:p>
    <w:p>
      <w:r>
        <w:br w:type="page"/>
      </w:r>
    </w:p>
    <w:p>
      <w:pPr>
        <w:pStyle w:val="Heading1"/>
        <w:jc w:val="left"/>
      </w:pPr>
      <w:r>
        <w:rPr>
          <w:rFonts w:ascii="Times New Roman" w:hAnsi="Times New Roman"/>
          <w:b/>
          <w:color w:val="000000"/>
          <w:sz w:val="32"/>
        </w:rPr>
        <w:t>1. Preparación de Datos</w:t>
      </w:r>
    </w:p>
    <w:p>
      <w:pPr>
        <w:spacing w:after="160"/>
        <w:jc w:val="both"/>
      </w:pPr>
      <w:r>
        <w:rPr>
          <w:rFonts w:ascii="Times New Roman" w:hAnsi="Times New Roman"/>
          <w:sz w:val="24"/>
        </w:rPr>
        <w:t>El proceso de preparación de datos constituye la primera etapa del desarrollo de los modelos predictivos. A partir del dataset original de consumo eléctrico (UCI, Francia 2006–2010) con 2.075.259 registros a frecuencia de un minuto, se realizaron las siguientes etapas: eliminación de valores nulos, detección y remoción de valores atípicos mediante el método IQR, y exportación del dataset limpio con 1.739.167 registros.</w:t>
      </w:r>
    </w:p>
    <w:p>
      <w:pPr>
        <w:spacing w:after="160"/>
        <w:jc w:val="both"/>
      </w:pPr>
      <w:r>
        <w:rPr>
          <w:rFonts w:ascii="Times New Roman" w:hAnsi="Times New Roman"/>
          <w:sz w:val="24"/>
        </w:rPr>
        <w:t>Para adaptar los datos a cada horizonte de predicción, se aplicó un proceso de remuestreo (resample) calculando el promedio de los valores dentro de cada intervalo de tiempo. Este procedimiento reduce la resolución temporal pero elimina el ruido de corto plazo y hace manejable el volumen de datos para el entrenamiento.</w:t>
      </w:r>
    </w:p>
    <w:p>
      <w:pPr>
        <w:pStyle w:val="Heading2"/>
        <w:jc w:val="left"/>
      </w:pPr>
      <w:r>
        <w:rPr>
          <w:rFonts w:ascii="Times New Roman" w:hAnsi="Times New Roman"/>
          <w:b/>
          <w:color w:val="000000"/>
          <w:sz w:val="26"/>
        </w:rPr>
        <w:t>1.1 Variables del Dataset</w:t>
      </w:r>
    </w:p>
    <w:p>
      <w:pPr>
        <w:spacing w:after="160"/>
        <w:jc w:val="both"/>
      </w:pPr>
      <w:r>
        <w:rPr>
          <w:rFonts w:ascii="Times New Roman" w:hAnsi="Times New Roman"/>
          <w:sz w:val="24"/>
        </w:rPr>
        <w:t>El dataset limpio contiene las siguientes variables eléctricas:</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2"/>
              </w:rPr>
              <w:t>Variable</w:t>
            </w:r>
          </w:p>
        </w:tc>
        <w:tc>
          <w:tcPr>
            <w:tcW w:type="dxa" w:w="3041"/>
          </w:tcPr>
          <w:p>
            <w:r>
              <w:rPr>
                <w:rFonts w:ascii="Times New Roman" w:hAnsi="Times New Roman"/>
                <w:b/>
                <w:sz w:val="22"/>
              </w:rPr>
              <w:t>Unidad</w:t>
            </w:r>
          </w:p>
        </w:tc>
        <w:tc>
          <w:tcPr>
            <w:tcW w:type="dxa" w:w="3041"/>
          </w:tcPr>
          <w:p>
            <w:r>
              <w:rPr>
                <w:rFonts w:ascii="Times New Roman" w:hAnsi="Times New Roman"/>
                <w:b/>
                <w:sz w:val="22"/>
              </w:rPr>
              <w:t>Descripción</w:t>
            </w:r>
          </w:p>
        </w:tc>
      </w:tr>
      <w:tr>
        <w:tc>
          <w:tcPr>
            <w:tcW w:type="dxa" w:w="3041"/>
          </w:tcPr>
          <w:p>
            <w:r>
              <w:rPr>
                <w:rFonts w:ascii="Times New Roman" w:hAnsi="Times New Roman"/>
                <w:b w:val="0"/>
                <w:sz w:val="22"/>
              </w:rPr>
              <w:t>GAP</w:t>
            </w:r>
          </w:p>
        </w:tc>
        <w:tc>
          <w:tcPr>
            <w:tcW w:type="dxa" w:w="3041"/>
          </w:tcPr>
          <w:p>
            <w:r>
              <w:rPr>
                <w:rFonts w:ascii="Times New Roman" w:hAnsi="Times New Roman"/>
                <w:b w:val="0"/>
                <w:sz w:val="22"/>
              </w:rPr>
              <w:t>kW</w:t>
            </w:r>
          </w:p>
        </w:tc>
        <w:tc>
          <w:tcPr>
            <w:tcW w:type="dxa" w:w="3041"/>
          </w:tcPr>
          <w:p>
            <w:r>
              <w:rPr>
                <w:rFonts w:ascii="Times New Roman" w:hAnsi="Times New Roman"/>
                <w:b w:val="0"/>
                <w:sz w:val="22"/>
              </w:rPr>
              <w:t>Potencia activa global — variable objetivo a predecir</w:t>
            </w:r>
          </w:p>
        </w:tc>
      </w:tr>
      <w:tr>
        <w:tc>
          <w:tcPr>
            <w:tcW w:type="dxa" w:w="3041"/>
          </w:tcPr>
          <w:p>
            <w:r>
              <w:rPr>
                <w:rFonts w:ascii="Times New Roman" w:hAnsi="Times New Roman"/>
                <w:b w:val="0"/>
                <w:sz w:val="22"/>
              </w:rPr>
              <w:t>GRP</w:t>
            </w:r>
          </w:p>
        </w:tc>
        <w:tc>
          <w:tcPr>
            <w:tcW w:type="dxa" w:w="3041"/>
          </w:tcPr>
          <w:p>
            <w:r>
              <w:rPr>
                <w:rFonts w:ascii="Times New Roman" w:hAnsi="Times New Roman"/>
                <w:b w:val="0"/>
                <w:sz w:val="22"/>
              </w:rPr>
              <w:t>kW</w:t>
            </w:r>
          </w:p>
        </w:tc>
        <w:tc>
          <w:tcPr>
            <w:tcW w:type="dxa" w:w="3041"/>
          </w:tcPr>
          <w:p>
            <w:r>
              <w:rPr>
                <w:rFonts w:ascii="Times New Roman" w:hAnsi="Times New Roman"/>
                <w:b w:val="0"/>
                <w:sz w:val="22"/>
              </w:rPr>
              <w:t>Potencia reactiva global</w:t>
            </w:r>
          </w:p>
        </w:tc>
      </w:tr>
      <w:tr>
        <w:tc>
          <w:tcPr>
            <w:tcW w:type="dxa" w:w="3041"/>
          </w:tcPr>
          <w:p>
            <w:r>
              <w:rPr>
                <w:rFonts w:ascii="Times New Roman" w:hAnsi="Times New Roman"/>
                <w:b w:val="0"/>
                <w:sz w:val="22"/>
              </w:rPr>
              <w:t>VOLT</w:t>
            </w:r>
          </w:p>
        </w:tc>
        <w:tc>
          <w:tcPr>
            <w:tcW w:type="dxa" w:w="3041"/>
          </w:tcPr>
          <w:p>
            <w:r>
              <w:rPr>
                <w:rFonts w:ascii="Times New Roman" w:hAnsi="Times New Roman"/>
                <w:b w:val="0"/>
                <w:sz w:val="22"/>
              </w:rPr>
              <w:t>V</w:t>
            </w:r>
          </w:p>
        </w:tc>
        <w:tc>
          <w:tcPr>
            <w:tcW w:type="dxa" w:w="3041"/>
          </w:tcPr>
          <w:p>
            <w:r>
              <w:rPr>
                <w:rFonts w:ascii="Times New Roman" w:hAnsi="Times New Roman"/>
                <w:b w:val="0"/>
                <w:sz w:val="22"/>
              </w:rPr>
              <w:t>Voltaje de red</w:t>
            </w:r>
          </w:p>
        </w:tc>
      </w:tr>
      <w:tr>
        <w:tc>
          <w:tcPr>
            <w:tcW w:type="dxa" w:w="3041"/>
          </w:tcPr>
          <w:p>
            <w:r>
              <w:rPr>
                <w:rFonts w:ascii="Times New Roman" w:hAnsi="Times New Roman"/>
                <w:b w:val="0"/>
                <w:sz w:val="22"/>
              </w:rPr>
              <w:t>GI</w:t>
            </w:r>
          </w:p>
        </w:tc>
        <w:tc>
          <w:tcPr>
            <w:tcW w:type="dxa" w:w="3041"/>
          </w:tcPr>
          <w:p>
            <w:r>
              <w:rPr>
                <w:rFonts w:ascii="Times New Roman" w:hAnsi="Times New Roman"/>
                <w:b w:val="0"/>
                <w:sz w:val="22"/>
              </w:rPr>
              <w:t>A</w:t>
            </w:r>
          </w:p>
        </w:tc>
        <w:tc>
          <w:tcPr>
            <w:tcW w:type="dxa" w:w="3041"/>
          </w:tcPr>
          <w:p>
            <w:r>
              <w:rPr>
                <w:rFonts w:ascii="Times New Roman" w:hAnsi="Times New Roman"/>
                <w:b w:val="0"/>
                <w:sz w:val="22"/>
              </w:rPr>
              <w:t>Intensidad global de corriente</w:t>
            </w:r>
          </w:p>
        </w:tc>
      </w:tr>
      <w:tr>
        <w:tc>
          <w:tcPr>
            <w:tcW w:type="dxa" w:w="3041"/>
          </w:tcPr>
          <w:p>
            <w:r>
              <w:rPr>
                <w:rFonts w:ascii="Times New Roman" w:hAnsi="Times New Roman"/>
                <w:b w:val="0"/>
                <w:sz w:val="22"/>
              </w:rPr>
              <w:t>SM1</w:t>
            </w:r>
          </w:p>
        </w:tc>
        <w:tc>
          <w:tcPr>
            <w:tcW w:type="dxa" w:w="3041"/>
          </w:tcPr>
          <w:p>
            <w:r>
              <w:rPr>
                <w:rFonts w:ascii="Times New Roman" w:hAnsi="Times New Roman"/>
                <w:b w:val="0"/>
                <w:sz w:val="22"/>
              </w:rPr>
              <w:t>Wh</w:t>
            </w:r>
          </w:p>
        </w:tc>
        <w:tc>
          <w:tcPr>
            <w:tcW w:type="dxa" w:w="3041"/>
          </w:tcPr>
          <w:p>
            <w:r>
              <w:rPr>
                <w:rFonts w:ascii="Times New Roman" w:hAnsi="Times New Roman"/>
                <w:b w:val="0"/>
                <w:sz w:val="22"/>
              </w:rPr>
              <w:t>Sub-medidor 1 — Cocina</w:t>
            </w:r>
          </w:p>
        </w:tc>
      </w:tr>
      <w:tr>
        <w:tc>
          <w:tcPr>
            <w:tcW w:type="dxa" w:w="3041"/>
          </w:tcPr>
          <w:p>
            <w:r>
              <w:rPr>
                <w:rFonts w:ascii="Times New Roman" w:hAnsi="Times New Roman"/>
                <w:b w:val="0"/>
                <w:sz w:val="22"/>
              </w:rPr>
              <w:t>SM2</w:t>
            </w:r>
          </w:p>
        </w:tc>
        <w:tc>
          <w:tcPr>
            <w:tcW w:type="dxa" w:w="3041"/>
          </w:tcPr>
          <w:p>
            <w:r>
              <w:rPr>
                <w:rFonts w:ascii="Times New Roman" w:hAnsi="Times New Roman"/>
                <w:b w:val="0"/>
                <w:sz w:val="22"/>
              </w:rPr>
              <w:t>Wh</w:t>
            </w:r>
          </w:p>
        </w:tc>
        <w:tc>
          <w:tcPr>
            <w:tcW w:type="dxa" w:w="3041"/>
          </w:tcPr>
          <w:p>
            <w:r>
              <w:rPr>
                <w:rFonts w:ascii="Times New Roman" w:hAnsi="Times New Roman"/>
                <w:b w:val="0"/>
                <w:sz w:val="22"/>
              </w:rPr>
              <w:t>Sub-medidor 2 — Lavandería</w:t>
            </w:r>
          </w:p>
        </w:tc>
      </w:tr>
      <w:tr>
        <w:tc>
          <w:tcPr>
            <w:tcW w:type="dxa" w:w="3041"/>
          </w:tcPr>
          <w:p>
            <w:r>
              <w:rPr>
                <w:rFonts w:ascii="Times New Roman" w:hAnsi="Times New Roman"/>
                <w:b w:val="0"/>
                <w:sz w:val="22"/>
              </w:rPr>
              <w:t>SM3</w:t>
            </w:r>
          </w:p>
        </w:tc>
        <w:tc>
          <w:tcPr>
            <w:tcW w:type="dxa" w:w="3041"/>
          </w:tcPr>
          <w:p>
            <w:r>
              <w:rPr>
                <w:rFonts w:ascii="Times New Roman" w:hAnsi="Times New Roman"/>
                <w:b w:val="0"/>
                <w:sz w:val="22"/>
              </w:rPr>
              <w:t>Wh</w:t>
            </w:r>
          </w:p>
        </w:tc>
        <w:tc>
          <w:tcPr>
            <w:tcW w:type="dxa" w:w="3041"/>
          </w:tcPr>
          <w:p>
            <w:r>
              <w:rPr>
                <w:rFonts w:ascii="Times New Roman" w:hAnsi="Times New Roman"/>
                <w:b w:val="0"/>
                <w:sz w:val="22"/>
              </w:rPr>
              <w:t>Sub-medidor 3 — Calentador / Aire acondicionado</w:t>
            </w:r>
          </w:p>
        </w:tc>
      </w:tr>
    </w:tbl>
    <w:p/>
    <w:p>
      <w:pPr>
        <w:pStyle w:val="Heading2"/>
        <w:jc w:val="left"/>
      </w:pPr>
      <w:r>
        <w:rPr>
          <w:rFonts w:ascii="Times New Roman" w:hAnsi="Times New Roman"/>
          <w:b/>
          <w:color w:val="000000"/>
          <w:sz w:val="26"/>
        </w:rPr>
        <w:t>1.2 Remuestreo por Escenario</w:t>
      </w:r>
    </w:p>
    <w:p>
      <w:pPr>
        <w:spacing w:after="160"/>
        <w:jc w:val="both"/>
      </w:pPr>
      <w:r>
        <w:rPr>
          <w:rFonts w:ascii="Times New Roman" w:hAnsi="Times New Roman"/>
          <w:sz w:val="24"/>
        </w:rPr>
        <w:t>Cada escenario parte del mismo dataset limpio a 1 minuto y lo agrega a una frecuencia diferente mediante promedio. La siguiente tabla resume el resultado del proceso de remuestreo:</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b/>
                <w:sz w:val="22"/>
              </w:rPr>
              <w:t>Escenario</w:t>
            </w:r>
          </w:p>
        </w:tc>
        <w:tc>
          <w:tcPr>
            <w:tcW w:type="dxa" w:w="2280"/>
          </w:tcPr>
          <w:p>
            <w:r>
              <w:rPr>
                <w:rFonts w:ascii="Times New Roman" w:hAnsi="Times New Roman"/>
                <w:b/>
                <w:sz w:val="22"/>
              </w:rPr>
              <w:t>Frecuencia</w:t>
            </w:r>
          </w:p>
        </w:tc>
        <w:tc>
          <w:tcPr>
            <w:tcW w:type="dxa" w:w="2280"/>
          </w:tcPr>
          <w:p>
            <w:r>
              <w:rPr>
                <w:rFonts w:ascii="Times New Roman" w:hAnsi="Times New Roman"/>
                <w:b/>
                <w:sz w:val="22"/>
              </w:rPr>
              <w:t>Registros resultantes</w:t>
            </w:r>
          </w:p>
        </w:tc>
        <w:tc>
          <w:tcPr>
            <w:tcW w:type="dxa" w:w="2280"/>
          </w:tcPr>
          <w:p>
            <w:r>
              <w:rPr>
                <w:rFonts w:ascii="Times New Roman" w:hAnsi="Times New Roman"/>
                <w:b/>
                <w:sz w:val="22"/>
              </w:rPr>
              <w:t>Observaciones por día</w:t>
            </w:r>
          </w:p>
        </w:tc>
      </w:tr>
      <w:tr>
        <w:tc>
          <w:tcPr>
            <w:tcW w:type="dxa" w:w="2280"/>
          </w:tcPr>
          <w:p>
            <w:r>
              <w:rPr>
                <w:rFonts w:ascii="Times New Roman" w:hAnsi="Times New Roman"/>
                <w:b w:val="0"/>
                <w:sz w:val="22"/>
              </w:rPr>
              <w:t>Escenario 1</w:t>
            </w:r>
          </w:p>
        </w:tc>
        <w:tc>
          <w:tcPr>
            <w:tcW w:type="dxa" w:w="2280"/>
          </w:tcPr>
          <w:p>
            <w:r>
              <w:rPr>
                <w:rFonts w:ascii="Times New Roman" w:hAnsi="Times New Roman"/>
                <w:b w:val="0"/>
                <w:sz w:val="22"/>
              </w:rPr>
              <w:t>15 minutos</w:t>
            </w:r>
          </w:p>
        </w:tc>
        <w:tc>
          <w:tcPr>
            <w:tcW w:type="dxa" w:w="2280"/>
          </w:tcPr>
          <w:p>
            <w:r>
              <w:rPr>
                <w:rFonts w:ascii="Times New Roman" w:hAnsi="Times New Roman"/>
                <w:b w:val="0"/>
                <w:sz w:val="22"/>
              </w:rPr>
              <w:t>133.489</w:t>
            </w:r>
          </w:p>
        </w:tc>
        <w:tc>
          <w:tcPr>
            <w:tcW w:type="dxa" w:w="2280"/>
          </w:tcPr>
          <w:p>
            <w:r>
              <w:rPr>
                <w:rFonts w:ascii="Times New Roman" w:hAnsi="Times New Roman"/>
                <w:b w:val="0"/>
                <w:sz w:val="22"/>
              </w:rPr>
              <w:t>96</w:t>
            </w:r>
          </w:p>
        </w:tc>
      </w:tr>
      <w:tr>
        <w:tc>
          <w:tcPr>
            <w:tcW w:type="dxa" w:w="2280"/>
          </w:tcPr>
          <w:p>
            <w:r>
              <w:rPr>
                <w:rFonts w:ascii="Times New Roman" w:hAnsi="Times New Roman"/>
                <w:b w:val="0"/>
                <w:sz w:val="22"/>
              </w:rPr>
              <w:t>Escenario 2</w:t>
            </w:r>
          </w:p>
        </w:tc>
        <w:tc>
          <w:tcPr>
            <w:tcW w:type="dxa" w:w="2280"/>
          </w:tcPr>
          <w:p>
            <w:r>
              <w:rPr>
                <w:rFonts w:ascii="Times New Roman" w:hAnsi="Times New Roman"/>
                <w:b w:val="0"/>
                <w:sz w:val="22"/>
              </w:rPr>
              <w:t>1 hora</w:t>
            </w:r>
          </w:p>
        </w:tc>
        <w:tc>
          <w:tcPr>
            <w:tcW w:type="dxa" w:w="2280"/>
          </w:tcPr>
          <w:p>
            <w:r>
              <w:rPr>
                <w:rFonts w:ascii="Times New Roman" w:hAnsi="Times New Roman"/>
                <w:b w:val="0"/>
                <w:sz w:val="22"/>
              </w:rPr>
              <w:t>34.007</w:t>
            </w:r>
          </w:p>
        </w:tc>
        <w:tc>
          <w:tcPr>
            <w:tcW w:type="dxa" w:w="2280"/>
          </w:tcPr>
          <w:p>
            <w:r>
              <w:rPr>
                <w:rFonts w:ascii="Times New Roman" w:hAnsi="Times New Roman"/>
                <w:b w:val="0"/>
                <w:sz w:val="22"/>
              </w:rPr>
              <w:t>24</w:t>
            </w:r>
          </w:p>
        </w:tc>
      </w:tr>
      <w:tr>
        <w:tc>
          <w:tcPr>
            <w:tcW w:type="dxa" w:w="2280"/>
          </w:tcPr>
          <w:p>
            <w:r>
              <w:rPr>
                <w:rFonts w:ascii="Times New Roman" w:hAnsi="Times New Roman"/>
                <w:b w:val="0"/>
                <w:sz w:val="22"/>
              </w:rPr>
              <w:t>Escenario 3</w:t>
            </w:r>
          </w:p>
        </w:tc>
        <w:tc>
          <w:tcPr>
            <w:tcW w:type="dxa" w:w="2280"/>
          </w:tcPr>
          <w:p>
            <w:r>
              <w:rPr>
                <w:rFonts w:ascii="Times New Roman" w:hAnsi="Times New Roman"/>
                <w:b w:val="0"/>
                <w:sz w:val="22"/>
              </w:rPr>
              <w:t>1 día</w:t>
            </w:r>
          </w:p>
        </w:tc>
        <w:tc>
          <w:tcPr>
            <w:tcW w:type="dxa" w:w="2280"/>
          </w:tcPr>
          <w:p>
            <w:r>
              <w:rPr>
                <w:rFonts w:ascii="Times New Roman" w:hAnsi="Times New Roman"/>
                <w:b w:val="0"/>
                <w:sz w:val="22"/>
              </w:rPr>
              <w:t>1.433</w:t>
            </w:r>
          </w:p>
        </w:tc>
        <w:tc>
          <w:tcPr>
            <w:tcW w:type="dxa" w:w="2280"/>
          </w:tcPr>
          <w:p>
            <w:r>
              <w:rPr>
                <w:rFonts w:ascii="Times New Roman" w:hAnsi="Times New Roman"/>
                <w:b w:val="0"/>
                <w:sz w:val="22"/>
              </w:rPr>
              <w:t>1</w:t>
            </w:r>
          </w:p>
        </w:tc>
      </w:tr>
    </w:tbl>
    <w:p/>
    <w:p>
      <w:pPr>
        <w:spacing w:after="160"/>
        <w:jc w:val="both"/>
      </w:pPr>
      <w:r>
        <w:rPr>
          <w:rFonts w:ascii="Times New Roman" w:hAnsi="Times New Roman"/>
          <w:sz w:val="24"/>
        </w:rPr>
        <w:t>En todos los escenarios, la división del conjunto de datos se realizó de forma cronológica: 80% para entrenamiento y 20% para prueba, respetando el orden temporal de las observaciones para evitar fuga de información futura (data leakage). La siguiente tabla muestra el desglose exacto por escenario:</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b/>
                <w:sz w:val="22"/>
              </w:rPr>
              <w:t>Escenario</w:t>
            </w:r>
          </w:p>
        </w:tc>
        <w:tc>
          <w:tcPr>
            <w:tcW w:type="dxa" w:w="2280"/>
          </w:tcPr>
          <w:p>
            <w:r>
              <w:rPr>
                <w:rFonts w:ascii="Times New Roman" w:hAnsi="Times New Roman"/>
                <w:b/>
                <w:sz w:val="22"/>
              </w:rPr>
              <w:t>Total registros</w:t>
            </w:r>
          </w:p>
        </w:tc>
        <w:tc>
          <w:tcPr>
            <w:tcW w:type="dxa" w:w="2280"/>
          </w:tcPr>
          <w:p>
            <w:r>
              <w:rPr>
                <w:rFonts w:ascii="Times New Roman" w:hAnsi="Times New Roman"/>
                <w:b/>
                <w:sz w:val="22"/>
              </w:rPr>
              <w:t>Entrenamiento (80%)</w:t>
            </w:r>
          </w:p>
        </w:tc>
        <w:tc>
          <w:tcPr>
            <w:tcW w:type="dxa" w:w="2280"/>
          </w:tcPr>
          <w:p>
            <w:r>
              <w:rPr>
                <w:rFonts w:ascii="Times New Roman" w:hAnsi="Times New Roman"/>
                <w:b/>
                <w:sz w:val="22"/>
              </w:rPr>
              <w:t>Prueba (20%)</w:t>
            </w:r>
          </w:p>
        </w:tc>
      </w:tr>
      <w:tr>
        <w:tc>
          <w:tcPr>
            <w:tcW w:type="dxa" w:w="2280"/>
          </w:tcPr>
          <w:p>
            <w:r>
              <w:rPr>
                <w:rFonts w:ascii="Times New Roman" w:hAnsi="Times New Roman"/>
                <w:b w:val="0"/>
                <w:sz w:val="22"/>
              </w:rPr>
              <w:t>15 minutos</w:t>
            </w:r>
          </w:p>
        </w:tc>
        <w:tc>
          <w:tcPr>
            <w:tcW w:type="dxa" w:w="2280"/>
          </w:tcPr>
          <w:p>
            <w:r>
              <w:rPr>
                <w:rFonts w:ascii="Times New Roman" w:hAnsi="Times New Roman"/>
                <w:b w:val="0"/>
                <w:sz w:val="22"/>
              </w:rPr>
              <w:t>133.489</w:t>
            </w:r>
          </w:p>
        </w:tc>
        <w:tc>
          <w:tcPr>
            <w:tcW w:type="dxa" w:w="2280"/>
          </w:tcPr>
          <w:p>
            <w:r>
              <w:rPr>
                <w:rFonts w:ascii="Times New Roman" w:hAnsi="Times New Roman"/>
                <w:b w:val="0"/>
                <w:sz w:val="22"/>
              </w:rPr>
              <w:t>106.791</w:t>
            </w:r>
          </w:p>
        </w:tc>
        <w:tc>
          <w:tcPr>
            <w:tcW w:type="dxa" w:w="2280"/>
          </w:tcPr>
          <w:p>
            <w:r>
              <w:rPr>
                <w:rFonts w:ascii="Times New Roman" w:hAnsi="Times New Roman"/>
                <w:b w:val="0"/>
                <w:sz w:val="22"/>
              </w:rPr>
              <w:t>26.698</w:t>
            </w:r>
          </w:p>
        </w:tc>
      </w:tr>
      <w:tr>
        <w:tc>
          <w:tcPr>
            <w:tcW w:type="dxa" w:w="2280"/>
          </w:tcPr>
          <w:p>
            <w:r>
              <w:rPr>
                <w:rFonts w:ascii="Times New Roman" w:hAnsi="Times New Roman"/>
                <w:b w:val="0"/>
                <w:sz w:val="22"/>
              </w:rPr>
              <w:t>1 hora</w:t>
            </w:r>
          </w:p>
        </w:tc>
        <w:tc>
          <w:tcPr>
            <w:tcW w:type="dxa" w:w="2280"/>
          </w:tcPr>
          <w:p>
            <w:r>
              <w:rPr>
                <w:rFonts w:ascii="Times New Roman" w:hAnsi="Times New Roman"/>
                <w:b w:val="0"/>
                <w:sz w:val="22"/>
              </w:rPr>
              <w:t>34.007</w:t>
            </w:r>
          </w:p>
        </w:tc>
        <w:tc>
          <w:tcPr>
            <w:tcW w:type="dxa" w:w="2280"/>
          </w:tcPr>
          <w:p>
            <w:r>
              <w:rPr>
                <w:rFonts w:ascii="Times New Roman" w:hAnsi="Times New Roman"/>
                <w:b w:val="0"/>
                <w:sz w:val="22"/>
              </w:rPr>
              <w:t>27.205</w:t>
            </w:r>
          </w:p>
        </w:tc>
        <w:tc>
          <w:tcPr>
            <w:tcW w:type="dxa" w:w="2280"/>
          </w:tcPr>
          <w:p>
            <w:r>
              <w:rPr>
                <w:rFonts w:ascii="Times New Roman" w:hAnsi="Times New Roman"/>
                <w:b w:val="0"/>
                <w:sz w:val="22"/>
              </w:rPr>
              <w:t>6.802</w:t>
            </w:r>
          </w:p>
        </w:tc>
      </w:tr>
      <w:tr>
        <w:tc>
          <w:tcPr>
            <w:tcW w:type="dxa" w:w="2280"/>
          </w:tcPr>
          <w:p>
            <w:r>
              <w:rPr>
                <w:rFonts w:ascii="Times New Roman" w:hAnsi="Times New Roman"/>
                <w:b w:val="0"/>
                <w:sz w:val="22"/>
              </w:rPr>
              <w:t>1 día</w:t>
            </w:r>
          </w:p>
        </w:tc>
        <w:tc>
          <w:tcPr>
            <w:tcW w:type="dxa" w:w="2280"/>
          </w:tcPr>
          <w:p>
            <w:r>
              <w:rPr>
                <w:rFonts w:ascii="Times New Roman" w:hAnsi="Times New Roman"/>
                <w:b w:val="0"/>
                <w:sz w:val="22"/>
              </w:rPr>
              <w:t>1.433</w:t>
            </w:r>
          </w:p>
        </w:tc>
        <w:tc>
          <w:tcPr>
            <w:tcW w:type="dxa" w:w="2280"/>
          </w:tcPr>
          <w:p>
            <w:r>
              <w:rPr>
                <w:rFonts w:ascii="Times New Roman" w:hAnsi="Times New Roman"/>
                <w:b w:val="0"/>
                <w:sz w:val="22"/>
              </w:rPr>
              <w:t>1.146</w:t>
            </w:r>
          </w:p>
        </w:tc>
        <w:tc>
          <w:tcPr>
            <w:tcW w:type="dxa" w:w="2280"/>
          </w:tcPr>
          <w:p>
            <w:r>
              <w:rPr>
                <w:rFonts w:ascii="Times New Roman" w:hAnsi="Times New Roman"/>
                <w:b w:val="0"/>
                <w:sz w:val="22"/>
              </w:rPr>
              <w:t>287</w:t>
            </w:r>
          </w:p>
        </w:tc>
      </w:tr>
    </w:tbl>
    <w:p/>
    <w:p>
      <w:pPr>
        <w:pStyle w:val="Heading2"/>
        <w:jc w:val="left"/>
      </w:pPr>
      <w:r>
        <w:rPr>
          <w:rFonts w:ascii="Times New Roman" w:hAnsi="Times New Roman"/>
          <w:b/>
          <w:color w:val="000000"/>
          <w:sz w:val="26"/>
        </w:rPr>
        <w:t>1.3 Preparación Específica por Escenario</w:t>
      </w:r>
    </w:p>
    <w:p>
      <w:pPr>
        <w:pStyle w:val="Heading3"/>
        <w:jc w:val="left"/>
      </w:pPr>
      <w:r>
        <w:rPr>
          <w:rFonts w:ascii="Times New Roman" w:hAnsi="Times New Roman"/>
          <w:b/>
          <w:color w:val="000000"/>
          <w:sz w:val="24"/>
        </w:rPr>
        <w:t>Escenario 1 — 15 Minutos</w:t>
      </w:r>
    </w:p>
    <w:p>
      <w:pPr>
        <w:spacing w:after="160"/>
        <w:jc w:val="both"/>
      </w:pPr>
      <w:r>
        <w:rPr>
          <w:rFonts w:ascii="Times New Roman" w:hAnsi="Times New Roman"/>
          <w:sz w:val="24"/>
        </w:rPr>
        <w:t>El dataset fue remuestreado a intervalos de 15 minutos, resultando en 133.489 observaciones para el período completo 2006–2010. De estas, 106.791 corresponden al conjunto de entrenamiento y 26.698 al conjunto de prueba. Este escenario genera la mayor cantidad de datos, lo que favorece el aprendizaje de los modelos. La variable GI (intensidad global) fue eliminada por presentar una correlación de 0.999 con GAP, siendo redundante y fuente de multicolinealidad. Se utilizan las 6 variables eléctricas restantes como predictores base.</w:t>
      </w:r>
    </w:p>
    <w:p>
      <w:pPr>
        <w:jc w:val="both"/>
      </w:pPr>
      <w:r>
        <w:rPr>
          <w:rFonts w:ascii="Times New Roman" w:hAnsi="Times New Roman"/>
          <w:i/>
          <w:sz w:val="24"/>
        </w:rPr>
        <w:t>La siguiente figura muestra la serie de consumo (GAP) tras el remuestreo a 15 minutos:</w:t>
      </w:r>
    </w:p>
    <w:p>
      <w:pPr>
        <w:jc w:val="center"/>
      </w:pPr>
      <w:r>
        <w:drawing>
          <wp:inline xmlns:a="http://schemas.openxmlformats.org/drawingml/2006/main" xmlns:pic="http://schemas.openxmlformats.org/drawingml/2006/picture">
            <wp:extent cx="5029200" cy="1316368"/>
            <wp:docPr id="1" name="Picture 1"/>
            <wp:cNvGraphicFramePr>
              <a:graphicFrameLocks noChangeAspect="1"/>
            </wp:cNvGraphicFramePr>
            <a:graphic>
              <a:graphicData uri="http://schemas.openxmlformats.org/drawingml/2006/picture">
                <pic:pic>
                  <pic:nvPicPr>
                    <pic:cNvPr id="0" name="e1_01_serie_resampleada.png"/>
                    <pic:cNvPicPr/>
                  </pic:nvPicPr>
                  <pic:blipFill>
                    <a:blip r:embed="rId9"/>
                    <a:stretch>
                      <a:fillRect/>
                    </a:stretch>
                  </pic:blipFill>
                  <pic:spPr>
                    <a:xfrm>
                      <a:off x="0" y="0"/>
                      <a:ext cx="5029200" cy="1316368"/>
                    </a:xfrm>
                    <a:prstGeom prst="rect"/>
                  </pic:spPr>
                </pic:pic>
              </a:graphicData>
            </a:graphic>
          </wp:inline>
        </w:drawing>
      </w:r>
    </w:p>
    <w:p>
      <w:pPr>
        <w:jc w:val="center"/>
      </w:pPr>
      <w:r>
        <w:rPr>
          <w:rFonts w:ascii="Times New Roman" w:hAnsi="Times New Roman"/>
          <w:i/>
          <w:sz w:val="20"/>
        </w:rPr>
        <w:t>Figura 1. Serie temporal de GAP remuestreada a 15 minutos. En azul se muestra el conjunto de entrenamiento (80%) y en naranja el conjunto de prueba (20%). La línea vertical indica el corte cronológico entre ambos conjuntos.</w:t>
      </w:r>
    </w:p>
    <w:p/>
    <w:p>
      <w:pPr>
        <w:pStyle w:val="Heading3"/>
        <w:jc w:val="left"/>
      </w:pPr>
      <w:r>
        <w:rPr>
          <w:rFonts w:ascii="Times New Roman" w:hAnsi="Times New Roman"/>
          <w:b/>
          <w:color w:val="000000"/>
          <w:sz w:val="24"/>
        </w:rPr>
        <w:t>Escenario 2 — 1 Hora</w:t>
      </w:r>
    </w:p>
    <w:p>
      <w:pPr>
        <w:spacing w:after="160"/>
        <w:jc w:val="both"/>
      </w:pPr>
      <w:r>
        <w:rPr>
          <w:rFonts w:ascii="Times New Roman" w:hAnsi="Times New Roman"/>
          <w:sz w:val="24"/>
        </w:rPr>
        <w:t>El dataset fue remuestreado a intervalos de una hora, resultando en 34.007 observaciones para el período completo 2006–2010. De estas, 27.205 corresponden al conjunto de entrenamiento y 6.802 al conjunto de prueba. Cada observación captura el promedio de 60 lecturas, lo que reduce las fluctuaciones momentáneas y produce una serie más estable. Al igual que en el escenario anterior, la variable GI fue eliminada por multicolinealidad (correlación 0.999 con GAP). Se utilizan las 6 variables eléctricas restantes como predictores base.</w:t>
      </w:r>
    </w:p>
    <w:p>
      <w:pPr>
        <w:jc w:val="both"/>
      </w:pPr>
      <w:r>
        <w:rPr>
          <w:rFonts w:ascii="Times New Roman" w:hAnsi="Times New Roman"/>
          <w:i/>
          <w:sz w:val="24"/>
        </w:rPr>
        <w:t>La siguiente figura muestra la serie de consumo (GAP) tras el remuestreo a 1 hora:</w:t>
      </w:r>
    </w:p>
    <w:p>
      <w:pPr>
        <w:jc w:val="center"/>
      </w:pPr>
      <w:r>
        <w:drawing>
          <wp:inline xmlns:a="http://schemas.openxmlformats.org/drawingml/2006/main" xmlns:pic="http://schemas.openxmlformats.org/drawingml/2006/picture">
            <wp:extent cx="5029200" cy="1316368"/>
            <wp:docPr id="2" name="Picture 2"/>
            <wp:cNvGraphicFramePr>
              <a:graphicFrameLocks noChangeAspect="1"/>
            </wp:cNvGraphicFramePr>
            <a:graphic>
              <a:graphicData uri="http://schemas.openxmlformats.org/drawingml/2006/picture">
                <pic:pic>
                  <pic:nvPicPr>
                    <pic:cNvPr id="0" name="e2_01_serie_resampleada.png"/>
                    <pic:cNvPicPr/>
                  </pic:nvPicPr>
                  <pic:blipFill>
                    <a:blip r:embed="rId10"/>
                    <a:stretch>
                      <a:fillRect/>
                    </a:stretch>
                  </pic:blipFill>
                  <pic:spPr>
                    <a:xfrm>
                      <a:off x="0" y="0"/>
                      <a:ext cx="5029200" cy="1316368"/>
                    </a:xfrm>
                    <a:prstGeom prst="rect"/>
                  </pic:spPr>
                </pic:pic>
              </a:graphicData>
            </a:graphic>
          </wp:inline>
        </w:drawing>
      </w:r>
    </w:p>
    <w:p>
      <w:pPr>
        <w:jc w:val="center"/>
      </w:pPr>
      <w:r>
        <w:rPr>
          <w:rFonts w:ascii="Times New Roman" w:hAnsi="Times New Roman"/>
          <w:i/>
          <w:sz w:val="20"/>
        </w:rPr>
        <w:t>Figura 2. Serie temporal de GAP remuestreada a 1 hora. En azul se muestra el conjunto de entrenamiento (80%) y en naranja el conjunto de prueba (20%).</w:t>
      </w:r>
    </w:p>
    <w:p/>
    <w:p>
      <w:pPr>
        <w:pStyle w:val="Heading3"/>
        <w:jc w:val="left"/>
      </w:pPr>
      <w:r>
        <w:rPr>
          <w:rFonts w:ascii="Times New Roman" w:hAnsi="Times New Roman"/>
          <w:b/>
          <w:color w:val="000000"/>
          <w:sz w:val="24"/>
        </w:rPr>
        <w:t>Escenario 3 — 1 Día</w:t>
      </w:r>
    </w:p>
    <w:p>
      <w:pPr>
        <w:spacing w:after="160"/>
        <w:jc w:val="both"/>
      </w:pPr>
      <w:r>
        <w:rPr>
          <w:rFonts w:ascii="Times New Roman" w:hAnsi="Times New Roman"/>
          <w:sz w:val="24"/>
        </w:rPr>
        <w:t>El dataset fue remuestreado a nivel diario, resultando en 1.433 observaciones para el período completo 2006–2010. De estas, 1.146 corresponden al conjunto de entrenamiento y 287 al conjunto de prueba. Es el escenario con menor volumen de datos. Adicionalmente, se eliminó la variable GI (intensidad global) por presentar una correlación de 0.999 con GAP, lo que la hace redundante y puede generar problemas de multicolinealidad.</w:t>
      </w:r>
    </w:p>
    <w:p>
      <w:pPr>
        <w:jc w:val="both"/>
      </w:pPr>
      <w:r>
        <w:rPr>
          <w:rFonts w:ascii="Times New Roman" w:hAnsi="Times New Roman"/>
          <w:i/>
          <w:sz w:val="24"/>
        </w:rPr>
        <w:t>La siguiente figura muestra la serie de consumo (GAP) tras el remuestreo a 1 día:</w:t>
      </w:r>
    </w:p>
    <w:p>
      <w:pPr>
        <w:jc w:val="center"/>
      </w:pPr>
      <w:r>
        <w:drawing>
          <wp:inline xmlns:a="http://schemas.openxmlformats.org/drawingml/2006/main" xmlns:pic="http://schemas.openxmlformats.org/drawingml/2006/picture">
            <wp:extent cx="5029200" cy="1316368"/>
            <wp:docPr id="3" name="Picture 3"/>
            <wp:cNvGraphicFramePr>
              <a:graphicFrameLocks noChangeAspect="1"/>
            </wp:cNvGraphicFramePr>
            <a:graphic>
              <a:graphicData uri="http://schemas.openxmlformats.org/drawingml/2006/picture">
                <pic:pic>
                  <pic:nvPicPr>
                    <pic:cNvPr id="0" name="e3_01_serie_resampleada.png"/>
                    <pic:cNvPicPr/>
                  </pic:nvPicPr>
                  <pic:blipFill>
                    <a:blip r:embed="rId11"/>
                    <a:stretch>
                      <a:fillRect/>
                    </a:stretch>
                  </pic:blipFill>
                  <pic:spPr>
                    <a:xfrm>
                      <a:off x="0" y="0"/>
                      <a:ext cx="5029200" cy="1316368"/>
                    </a:xfrm>
                    <a:prstGeom prst="rect"/>
                  </pic:spPr>
                </pic:pic>
              </a:graphicData>
            </a:graphic>
          </wp:inline>
        </w:drawing>
      </w:r>
    </w:p>
    <w:p>
      <w:pPr>
        <w:jc w:val="center"/>
      </w:pPr>
      <w:r>
        <w:rPr>
          <w:rFonts w:ascii="Times New Roman" w:hAnsi="Times New Roman"/>
          <w:i/>
          <w:sz w:val="20"/>
        </w:rPr>
        <w:t>Figura 3. Serie temporal de GAP remuestreada a 1 día. En azul se muestra el conjunto de entrenamiento (80%) y en naranja el conjunto de prueba (20%). Se aprecia claramente el patrón estacional anual del consumo.</w:t>
      </w:r>
    </w:p>
    <w:p/>
    <w:p>
      <w:r>
        <w:br w:type="page"/>
      </w:r>
    </w:p>
    <w:p>
      <w:pPr>
        <w:pStyle w:val="Heading1"/>
        <w:jc w:val="left"/>
      </w:pPr>
      <w:r>
        <w:rPr>
          <w:rFonts w:ascii="Times New Roman" w:hAnsi="Times New Roman"/>
          <w:b/>
          <w:color w:val="000000"/>
          <w:sz w:val="32"/>
        </w:rPr>
        <w:t>2. Horizontes de Predicción</w:t>
      </w:r>
    </w:p>
    <w:p>
      <w:pPr>
        <w:spacing w:after="160"/>
        <w:jc w:val="both"/>
      </w:pPr>
      <w:r>
        <w:rPr>
          <w:rFonts w:ascii="Times New Roman" w:hAnsi="Times New Roman"/>
          <w:sz w:val="24"/>
        </w:rPr>
        <w:t>Un horizonte de predicción define cada cuánto tiempo el modelo realiza una estimación del consumo eléctrico futuro. En esta tesis se evaluaron tres horizontes distintos, cada uno correspondiente a un escenario de análisis. La elección de múltiples horizontes permite comparar el desempeño de los modelos bajo distintas exigencias de resolución temporal.</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2"/>
              </w:rPr>
              <w:t>Escenario</w:t>
            </w:r>
          </w:p>
        </w:tc>
        <w:tc>
          <w:tcPr>
            <w:tcW w:type="dxa" w:w="3041"/>
          </w:tcPr>
          <w:p>
            <w:r>
              <w:rPr>
                <w:rFonts w:ascii="Times New Roman" w:hAnsi="Times New Roman"/>
                <w:b/>
                <w:sz w:val="22"/>
              </w:rPr>
              <w:t>Horizonte</w:t>
            </w:r>
          </w:p>
        </w:tc>
        <w:tc>
          <w:tcPr>
            <w:tcW w:type="dxa" w:w="3041"/>
          </w:tcPr>
          <w:p>
            <w:r>
              <w:rPr>
                <w:rFonts w:ascii="Times New Roman" w:hAnsi="Times New Roman"/>
                <w:b/>
                <w:sz w:val="22"/>
              </w:rPr>
              <w:t>Historia utilizada</w:t>
            </w:r>
          </w:p>
        </w:tc>
      </w:tr>
      <w:tr>
        <w:tc>
          <w:tcPr>
            <w:tcW w:type="dxa" w:w="3041"/>
          </w:tcPr>
          <w:p>
            <w:r>
              <w:rPr>
                <w:rFonts w:ascii="Times New Roman" w:hAnsi="Times New Roman"/>
                <w:b w:val="0"/>
                <w:sz w:val="22"/>
              </w:rPr>
              <w:t>Escenario 1</w:t>
            </w:r>
          </w:p>
        </w:tc>
        <w:tc>
          <w:tcPr>
            <w:tcW w:type="dxa" w:w="3041"/>
          </w:tcPr>
          <w:p>
            <w:r>
              <w:rPr>
                <w:rFonts w:ascii="Times New Roman" w:hAnsi="Times New Roman"/>
                <w:b w:val="0"/>
                <w:sz w:val="22"/>
              </w:rPr>
              <w:t>15 minutos</w:t>
            </w:r>
          </w:p>
        </w:tc>
        <w:tc>
          <w:tcPr>
            <w:tcW w:type="dxa" w:w="3041"/>
          </w:tcPr>
          <w:p>
            <w:r>
              <w:rPr>
                <w:rFonts w:ascii="Times New Roman" w:hAnsi="Times New Roman"/>
                <w:b w:val="0"/>
                <w:sz w:val="22"/>
              </w:rPr>
              <w:t>Hasta 24 horas hacia atrás (96 períodos)</w:t>
            </w:r>
          </w:p>
        </w:tc>
      </w:tr>
      <w:tr>
        <w:tc>
          <w:tcPr>
            <w:tcW w:type="dxa" w:w="3041"/>
          </w:tcPr>
          <w:p>
            <w:r>
              <w:rPr>
                <w:rFonts w:ascii="Times New Roman" w:hAnsi="Times New Roman"/>
                <w:b w:val="0"/>
                <w:sz w:val="22"/>
              </w:rPr>
              <w:t>Escenario 2</w:t>
            </w:r>
          </w:p>
        </w:tc>
        <w:tc>
          <w:tcPr>
            <w:tcW w:type="dxa" w:w="3041"/>
          </w:tcPr>
          <w:p>
            <w:r>
              <w:rPr>
                <w:rFonts w:ascii="Times New Roman" w:hAnsi="Times New Roman"/>
                <w:b w:val="0"/>
                <w:sz w:val="22"/>
              </w:rPr>
              <w:t>1 hora</w:t>
            </w:r>
          </w:p>
        </w:tc>
        <w:tc>
          <w:tcPr>
            <w:tcW w:type="dxa" w:w="3041"/>
          </w:tcPr>
          <w:p>
            <w:r>
              <w:rPr>
                <w:rFonts w:ascii="Times New Roman" w:hAnsi="Times New Roman"/>
                <w:b w:val="0"/>
                <w:sz w:val="22"/>
              </w:rPr>
              <w:t>Hasta 1 semana hacia atrás (168 períodos)</w:t>
            </w:r>
          </w:p>
        </w:tc>
      </w:tr>
      <w:tr>
        <w:tc>
          <w:tcPr>
            <w:tcW w:type="dxa" w:w="3041"/>
          </w:tcPr>
          <w:p>
            <w:r>
              <w:rPr>
                <w:rFonts w:ascii="Times New Roman" w:hAnsi="Times New Roman"/>
                <w:b w:val="0"/>
                <w:sz w:val="22"/>
              </w:rPr>
              <w:t>Escenario 3</w:t>
            </w:r>
          </w:p>
        </w:tc>
        <w:tc>
          <w:tcPr>
            <w:tcW w:type="dxa" w:w="3041"/>
          </w:tcPr>
          <w:p>
            <w:r>
              <w:rPr>
                <w:rFonts w:ascii="Times New Roman" w:hAnsi="Times New Roman"/>
                <w:b w:val="0"/>
                <w:sz w:val="22"/>
              </w:rPr>
              <w:t>1 día</w:t>
            </w:r>
          </w:p>
        </w:tc>
        <w:tc>
          <w:tcPr>
            <w:tcW w:type="dxa" w:w="3041"/>
          </w:tcPr>
          <w:p>
            <w:r>
              <w:rPr>
                <w:rFonts w:ascii="Times New Roman" w:hAnsi="Times New Roman"/>
                <w:b w:val="0"/>
                <w:sz w:val="22"/>
              </w:rPr>
              <w:t>Hasta 1 mes hacia atrás (30 períodos)</w:t>
            </w:r>
          </w:p>
        </w:tc>
      </w:tr>
    </w:tbl>
    <w:p/>
    <w:p>
      <w:pPr>
        <w:pStyle w:val="Heading2"/>
        <w:jc w:val="left"/>
      </w:pPr>
      <w:r>
        <w:rPr>
          <w:rFonts w:ascii="Times New Roman" w:hAnsi="Times New Roman"/>
          <w:b/>
          <w:color w:val="000000"/>
          <w:sz w:val="26"/>
        </w:rPr>
        <w:t>2.1 Escenario 1 — Horizonte de 15 Minutos</w:t>
      </w:r>
    </w:p>
    <w:p>
      <w:pPr>
        <w:spacing w:after="160"/>
        <w:jc w:val="both"/>
      </w:pPr>
      <w:r>
        <w:rPr>
          <w:rFonts w:ascii="Times New Roman" w:hAnsi="Times New Roman"/>
          <w:sz w:val="24"/>
        </w:rPr>
        <w:t>El modelo predice el consumo eléctrico para el próximo cuarto de hora. Es el horizonte más detallado y preciso del estudio, adecuado para sistemas de gestión energética en tiempo real. Dispone del mayor volumen de datos para entrenamiento, con 96 observaciones por día. El rezago más largo utilizado equivale a 24 horas de historia (96 períodos de 15 minutos).</w:t>
      </w:r>
    </w:p>
    <w:p>
      <w:pPr>
        <w:pStyle w:val="Heading2"/>
        <w:jc w:val="left"/>
      </w:pPr>
      <w:r>
        <w:rPr>
          <w:rFonts w:ascii="Times New Roman" w:hAnsi="Times New Roman"/>
          <w:b/>
          <w:color w:val="000000"/>
          <w:sz w:val="26"/>
        </w:rPr>
        <w:t>2.2 Escenario 2 — Horizonte de 1 Hora</w:t>
      </w:r>
    </w:p>
    <w:p>
      <w:pPr>
        <w:spacing w:after="160"/>
        <w:jc w:val="both"/>
      </w:pPr>
      <w:r>
        <w:rPr>
          <w:rFonts w:ascii="Times New Roman" w:hAnsi="Times New Roman"/>
          <w:sz w:val="24"/>
        </w:rPr>
        <w:t>El modelo predice el consumo eléctrico de la próxima hora. Representa un equilibrio entre detalle y simplicidad, útil para la planificación operativa del consumo residencial. El rezago más largo utilizado equivale a una semana completa de historia (168 horas), lo que permite al modelo capturar tanto patrones diarios como comportamientos semanales.</w:t>
      </w:r>
    </w:p>
    <w:p>
      <w:pPr>
        <w:pStyle w:val="Heading2"/>
        <w:jc w:val="left"/>
      </w:pPr>
      <w:r>
        <w:rPr>
          <w:rFonts w:ascii="Times New Roman" w:hAnsi="Times New Roman"/>
          <w:b/>
          <w:color w:val="000000"/>
          <w:sz w:val="26"/>
        </w:rPr>
        <w:t>2.3 Escenario 3 — Horizonte de 1 Día</w:t>
      </w:r>
    </w:p>
    <w:p>
      <w:pPr>
        <w:spacing w:after="160"/>
        <w:jc w:val="both"/>
      </w:pPr>
      <w:r>
        <w:rPr>
          <w:rFonts w:ascii="Times New Roman" w:hAnsi="Times New Roman"/>
          <w:sz w:val="24"/>
        </w:rPr>
        <w:t>El modelo predice el consumo eléctrico total del día siguiente. Es el horizonte más general del estudio y resulta útil para la planificación energética a mediano plazo. El rezago más largo utilizado equivale a un mes de historia (30 días). Al tener menor cantidad de datos disponibles, este escenario presenta el mayor desafío para los modelos.</w:t>
      </w:r>
    </w:p>
    <w:p>
      <w:r>
        <w:br w:type="page"/>
      </w:r>
    </w:p>
    <w:p>
      <w:pPr>
        <w:pStyle w:val="Heading1"/>
        <w:jc w:val="left"/>
      </w:pPr>
      <w:r>
        <w:rPr>
          <w:rFonts w:ascii="Times New Roman" w:hAnsi="Times New Roman"/>
          <w:b/>
          <w:color w:val="000000"/>
          <w:sz w:val="32"/>
        </w:rPr>
        <w:t>3. Feature Engineering</w:t>
      </w:r>
    </w:p>
    <w:p>
      <w:pPr>
        <w:spacing w:after="160"/>
        <w:jc w:val="both"/>
      </w:pPr>
      <w:r>
        <w:rPr>
          <w:rFonts w:ascii="Times New Roman" w:hAnsi="Times New Roman"/>
          <w:sz w:val="24"/>
        </w:rPr>
        <w:t>El feature engineering es el proceso de construir nuevas variables a partir de los datos originales, con el objetivo de entregar al modelo información relevante para la predicción. Los modelos de machine learning no interpretan el tiempo directamente, por lo que es necesario transformar la dimensión temporal en columnas numéricas que el modelo pueda utilizar como predictores.</w:t>
      </w:r>
    </w:p>
    <w:p>
      <w:pPr>
        <w:spacing w:after="160"/>
        <w:jc w:val="both"/>
      </w:pPr>
      <w:r>
        <w:rPr>
          <w:rFonts w:ascii="Times New Roman" w:hAnsi="Times New Roman"/>
          <w:sz w:val="24"/>
        </w:rPr>
        <w:t>En esta tesis se construyeron tres tipos de variables para cada escenario: variables temporales, rezagos (lags) y medias móviles (rolling windows). Cada tipo aporta una perspectiva distinta sobre el comportamiento histórico del consumo.</w:t>
      </w:r>
    </w:p>
    <w:p>
      <w:pPr>
        <w:pStyle w:val="Heading2"/>
        <w:jc w:val="left"/>
      </w:pPr>
      <w:r>
        <w:rPr>
          <w:rFonts w:ascii="Times New Roman" w:hAnsi="Times New Roman"/>
          <w:b/>
          <w:color w:val="000000"/>
          <w:sz w:val="26"/>
        </w:rPr>
        <w:t>3.1 Variables Temporales Base (EDA)</w:t>
      </w:r>
    </w:p>
    <w:p>
      <w:pPr>
        <w:spacing w:after="160"/>
        <w:jc w:val="both"/>
      </w:pPr>
      <w:r>
        <w:rPr>
          <w:rFonts w:ascii="Times New Roman" w:hAnsi="Times New Roman"/>
          <w:sz w:val="24"/>
        </w:rPr>
        <w:t>Durante el análisis exploratorio se generaron variables temporales a partir del índice de fecha y hora, las cuales son reconstruidas en cada escenario tras el proceso de remuestreo. La tabla siguiente muestra las variables temporales utilizadas como predictores, indicando en qué escenarios se aplica cada una:</w:t>
      </w:r>
    </w:p>
    <w:tbl>
      <w:tblPr>
        <w:tblStyle w:val="TableGrid"/>
        <w:tblW w:type="auto" w:w="0"/>
        <w:tblLook w:firstColumn="1" w:firstRow="1" w:lastColumn="0" w:lastRow="0" w:noHBand="0" w:noVBand="1" w:val="04A0"/>
      </w:tblPr>
      <w:tblGrid>
        <w:gridCol w:w="4561"/>
        <w:gridCol w:w="4561"/>
      </w:tblGrid>
      <w:tr>
        <w:tc>
          <w:tcPr>
            <w:tcW w:type="dxa" w:w="4561"/>
          </w:tcPr>
          <w:p>
            <w:r>
              <w:rPr>
                <w:rFonts w:ascii="Times New Roman" w:hAnsi="Times New Roman"/>
                <w:b/>
                <w:sz w:val="22"/>
              </w:rPr>
              <w:t>Variable</w:t>
            </w:r>
          </w:p>
        </w:tc>
        <w:tc>
          <w:tcPr>
            <w:tcW w:type="dxa" w:w="4561"/>
          </w:tcPr>
          <w:p>
            <w:r>
              <w:rPr>
                <w:rFonts w:ascii="Times New Roman" w:hAnsi="Times New Roman"/>
                <w:b/>
                <w:sz w:val="22"/>
              </w:rPr>
              <w:t>Descripción</w:t>
            </w:r>
          </w:p>
        </w:tc>
      </w:tr>
      <w:tr>
        <w:tc>
          <w:tcPr>
            <w:tcW w:type="dxa" w:w="4561"/>
          </w:tcPr>
          <w:p>
            <w:r>
              <w:rPr>
                <w:rFonts w:ascii="Times New Roman" w:hAnsi="Times New Roman"/>
                <w:b/>
                <w:sz w:val="22"/>
              </w:rPr>
              <w:t>hora</w:t>
            </w:r>
          </w:p>
        </w:tc>
        <w:tc>
          <w:tcPr>
            <w:tcW w:type="dxa" w:w="4561"/>
          </w:tcPr>
          <w:p>
            <w:r>
              <w:rPr>
                <w:rFonts w:ascii="Times New Roman" w:hAnsi="Times New Roman"/>
                <w:sz w:val="22"/>
              </w:rPr>
              <w:t>Hora del día (0–23) — utilizada en Escenarios 1 y 2</w:t>
            </w:r>
          </w:p>
        </w:tc>
      </w:tr>
      <w:tr>
        <w:tc>
          <w:tcPr>
            <w:tcW w:type="dxa" w:w="4561"/>
          </w:tcPr>
          <w:p>
            <w:r>
              <w:rPr>
                <w:rFonts w:ascii="Times New Roman" w:hAnsi="Times New Roman"/>
                <w:b/>
                <w:sz w:val="22"/>
              </w:rPr>
              <w:t>dia_semana</w:t>
            </w:r>
          </w:p>
        </w:tc>
        <w:tc>
          <w:tcPr>
            <w:tcW w:type="dxa" w:w="4561"/>
          </w:tcPr>
          <w:p>
            <w:r>
              <w:rPr>
                <w:rFonts w:ascii="Times New Roman" w:hAnsi="Times New Roman"/>
                <w:sz w:val="22"/>
              </w:rPr>
              <w:t>Día de la semana (0=lunes, 6=domingo) — utilizada en los 3 escenarios</w:t>
            </w:r>
          </w:p>
        </w:tc>
      </w:tr>
      <w:tr>
        <w:tc>
          <w:tcPr>
            <w:tcW w:type="dxa" w:w="4561"/>
          </w:tcPr>
          <w:p>
            <w:r>
              <w:rPr>
                <w:rFonts w:ascii="Times New Roman" w:hAnsi="Times New Roman"/>
                <w:b/>
                <w:sz w:val="22"/>
              </w:rPr>
              <w:t>mes</w:t>
            </w:r>
          </w:p>
        </w:tc>
        <w:tc>
          <w:tcPr>
            <w:tcW w:type="dxa" w:w="4561"/>
          </w:tcPr>
          <w:p>
            <w:r>
              <w:rPr>
                <w:rFonts w:ascii="Times New Roman" w:hAnsi="Times New Roman"/>
                <w:sz w:val="22"/>
              </w:rPr>
              <w:t>Mes del año (1–12) — utilizada en los 3 escenarios</w:t>
            </w:r>
          </w:p>
        </w:tc>
      </w:tr>
      <w:tr>
        <w:tc>
          <w:tcPr>
            <w:tcW w:type="dxa" w:w="4561"/>
          </w:tcPr>
          <w:p>
            <w:r>
              <w:rPr>
                <w:rFonts w:ascii="Times New Roman" w:hAnsi="Times New Roman"/>
                <w:b/>
                <w:sz w:val="22"/>
              </w:rPr>
              <w:t>trimestre</w:t>
            </w:r>
          </w:p>
        </w:tc>
        <w:tc>
          <w:tcPr>
            <w:tcW w:type="dxa" w:w="4561"/>
          </w:tcPr>
          <w:p>
            <w:r>
              <w:rPr>
                <w:rFonts w:ascii="Times New Roman" w:hAnsi="Times New Roman"/>
                <w:sz w:val="22"/>
              </w:rPr>
              <w:t>Trimestre del año (1–4) — utilizada en Escenario 3</w:t>
            </w:r>
          </w:p>
        </w:tc>
      </w:tr>
      <w:tr>
        <w:tc>
          <w:tcPr>
            <w:tcW w:type="dxa" w:w="4561"/>
          </w:tcPr>
          <w:p>
            <w:r>
              <w:rPr>
                <w:rFonts w:ascii="Times New Roman" w:hAnsi="Times New Roman"/>
                <w:b/>
                <w:sz w:val="22"/>
              </w:rPr>
              <w:t>dia_anio</w:t>
            </w:r>
          </w:p>
        </w:tc>
        <w:tc>
          <w:tcPr>
            <w:tcW w:type="dxa" w:w="4561"/>
          </w:tcPr>
          <w:p>
            <w:r>
              <w:rPr>
                <w:rFonts w:ascii="Times New Roman" w:hAnsi="Times New Roman"/>
                <w:sz w:val="22"/>
              </w:rPr>
              <w:t>Día del año (1–365/366) — utilizada en Escenario 3</w:t>
            </w:r>
          </w:p>
        </w:tc>
      </w:tr>
      <w:tr>
        <w:tc>
          <w:tcPr>
            <w:tcW w:type="dxa" w:w="4561"/>
          </w:tcPr>
          <w:p>
            <w:r>
              <w:rPr>
                <w:rFonts w:ascii="Times New Roman" w:hAnsi="Times New Roman"/>
                <w:b/>
                <w:sz w:val="22"/>
              </w:rPr>
              <w:t>es_finde</w:t>
            </w:r>
          </w:p>
        </w:tc>
        <w:tc>
          <w:tcPr>
            <w:tcW w:type="dxa" w:w="4561"/>
          </w:tcPr>
          <w:p>
            <w:r>
              <w:rPr>
                <w:rFonts w:ascii="Times New Roman" w:hAnsi="Times New Roman"/>
                <w:sz w:val="22"/>
              </w:rPr>
              <w:t>1 si es sábado o domingo, 0 si es día de semana — utilizada en los 3 escenarios</w:t>
            </w:r>
          </w:p>
        </w:tc>
      </w:tr>
    </w:tbl>
    <w:p/>
    <w:p>
      <w:pPr>
        <w:pStyle w:val="Heading2"/>
        <w:jc w:val="left"/>
      </w:pPr>
      <w:r>
        <w:rPr>
          <w:rFonts w:ascii="Times New Roman" w:hAnsi="Times New Roman"/>
          <w:b/>
          <w:color w:val="000000"/>
          <w:sz w:val="26"/>
        </w:rPr>
        <w:t>3.2 Variables por Escenario</w:t>
      </w:r>
    </w:p>
    <w:p>
      <w:pPr>
        <w:pStyle w:val="Heading3"/>
        <w:jc w:val="left"/>
      </w:pPr>
      <w:r>
        <w:rPr>
          <w:rFonts w:ascii="Times New Roman" w:hAnsi="Times New Roman"/>
          <w:b/>
          <w:color w:val="000000"/>
          <w:sz w:val="24"/>
        </w:rPr>
        <w:t>Escenario 1 — 15 Minutos</w:t>
      </w:r>
    </w:p>
    <w:p>
      <w:pPr>
        <w:spacing w:after="160"/>
        <w:jc w:val="both"/>
      </w:pPr>
      <w:r>
        <w:rPr>
          <w:rFonts w:ascii="Times New Roman" w:hAnsi="Times New Roman"/>
          <w:sz w:val="24"/>
        </w:rPr>
        <w:t>Variables temporales utilizadas: hora, dia_semana, mes, es_finde.</w:t>
      </w:r>
    </w:p>
    <w:p>
      <w:pPr>
        <w:spacing w:after="160"/>
        <w:jc w:val="both"/>
      </w:pPr>
      <w:r>
        <w:rPr>
          <w:rFonts w:ascii="Times New Roman" w:hAnsi="Times New Roman"/>
          <w:sz w:val="24"/>
        </w:rPr>
        <w:t>Rezagos de GAP construidos:</w:t>
      </w:r>
    </w:p>
    <w:tbl>
      <w:tblPr>
        <w:tblStyle w:val="TableGrid"/>
        <w:tblW w:type="auto" w:w="0"/>
        <w:tblLook w:firstColumn="1" w:firstRow="1" w:lastColumn="0" w:lastRow="0" w:noHBand="0" w:noVBand="1" w:val="04A0"/>
      </w:tblPr>
      <w:tblGrid>
        <w:gridCol w:w="4561"/>
        <w:gridCol w:w="4561"/>
      </w:tblGrid>
      <w:tr>
        <w:tc>
          <w:tcPr>
            <w:tcW w:type="dxa" w:w="4561"/>
          </w:tcPr>
          <w:p>
            <w:r>
              <w:rPr>
                <w:rFonts w:ascii="Times New Roman" w:hAnsi="Times New Roman"/>
                <w:b/>
                <w:sz w:val="22"/>
              </w:rPr>
              <w:t>Variable</w:t>
            </w:r>
          </w:p>
        </w:tc>
        <w:tc>
          <w:tcPr>
            <w:tcW w:type="dxa" w:w="4561"/>
          </w:tcPr>
          <w:p>
            <w:r>
              <w:rPr>
                <w:rFonts w:ascii="Times New Roman" w:hAnsi="Times New Roman"/>
                <w:b/>
                <w:sz w:val="22"/>
              </w:rPr>
              <w:t>Equivalencia temporal</w:t>
            </w:r>
          </w:p>
        </w:tc>
      </w:tr>
      <w:tr>
        <w:tc>
          <w:tcPr>
            <w:tcW w:type="dxa" w:w="4561"/>
          </w:tcPr>
          <w:p>
            <w:r>
              <w:rPr>
                <w:rFonts w:ascii="Times New Roman" w:hAnsi="Times New Roman"/>
                <w:b/>
                <w:sz w:val="22"/>
              </w:rPr>
              <w:t>GAP_lag_1</w:t>
            </w:r>
          </w:p>
        </w:tc>
        <w:tc>
          <w:tcPr>
            <w:tcW w:type="dxa" w:w="4561"/>
          </w:tcPr>
          <w:p>
            <w:r>
              <w:rPr>
                <w:rFonts w:ascii="Times New Roman" w:hAnsi="Times New Roman"/>
                <w:sz w:val="22"/>
              </w:rPr>
              <w:t>Consumo hace 15 minutos</w:t>
            </w:r>
          </w:p>
        </w:tc>
      </w:tr>
      <w:tr>
        <w:tc>
          <w:tcPr>
            <w:tcW w:type="dxa" w:w="4561"/>
          </w:tcPr>
          <w:p>
            <w:r>
              <w:rPr>
                <w:rFonts w:ascii="Times New Roman" w:hAnsi="Times New Roman"/>
                <w:b/>
                <w:sz w:val="22"/>
              </w:rPr>
              <w:t>GAP_lag_2</w:t>
            </w:r>
          </w:p>
        </w:tc>
        <w:tc>
          <w:tcPr>
            <w:tcW w:type="dxa" w:w="4561"/>
          </w:tcPr>
          <w:p>
            <w:r>
              <w:rPr>
                <w:rFonts w:ascii="Times New Roman" w:hAnsi="Times New Roman"/>
                <w:sz w:val="22"/>
              </w:rPr>
              <w:t>Consumo hace 30 minutos</w:t>
            </w:r>
          </w:p>
        </w:tc>
      </w:tr>
      <w:tr>
        <w:tc>
          <w:tcPr>
            <w:tcW w:type="dxa" w:w="4561"/>
          </w:tcPr>
          <w:p>
            <w:r>
              <w:rPr>
                <w:rFonts w:ascii="Times New Roman" w:hAnsi="Times New Roman"/>
                <w:b/>
                <w:sz w:val="22"/>
              </w:rPr>
              <w:t>GAP_lag_4</w:t>
            </w:r>
          </w:p>
        </w:tc>
        <w:tc>
          <w:tcPr>
            <w:tcW w:type="dxa" w:w="4561"/>
          </w:tcPr>
          <w:p>
            <w:r>
              <w:rPr>
                <w:rFonts w:ascii="Times New Roman" w:hAnsi="Times New Roman"/>
                <w:sz w:val="22"/>
              </w:rPr>
              <w:t>Consumo hace 1 hora</w:t>
            </w:r>
          </w:p>
        </w:tc>
      </w:tr>
      <w:tr>
        <w:tc>
          <w:tcPr>
            <w:tcW w:type="dxa" w:w="4561"/>
          </w:tcPr>
          <w:p>
            <w:r>
              <w:rPr>
                <w:rFonts w:ascii="Times New Roman" w:hAnsi="Times New Roman"/>
                <w:b/>
                <w:sz w:val="22"/>
              </w:rPr>
              <w:t>GAP_lag_8</w:t>
            </w:r>
          </w:p>
        </w:tc>
        <w:tc>
          <w:tcPr>
            <w:tcW w:type="dxa" w:w="4561"/>
          </w:tcPr>
          <w:p>
            <w:r>
              <w:rPr>
                <w:rFonts w:ascii="Times New Roman" w:hAnsi="Times New Roman"/>
                <w:sz w:val="22"/>
              </w:rPr>
              <w:t>Consumo hace 2 horas</w:t>
            </w:r>
          </w:p>
        </w:tc>
      </w:tr>
      <w:tr>
        <w:tc>
          <w:tcPr>
            <w:tcW w:type="dxa" w:w="4561"/>
          </w:tcPr>
          <w:p>
            <w:r>
              <w:rPr>
                <w:rFonts w:ascii="Times New Roman" w:hAnsi="Times New Roman"/>
                <w:b/>
                <w:sz w:val="22"/>
              </w:rPr>
              <w:t>GAP_lag_12</w:t>
            </w:r>
          </w:p>
        </w:tc>
        <w:tc>
          <w:tcPr>
            <w:tcW w:type="dxa" w:w="4561"/>
          </w:tcPr>
          <w:p>
            <w:r>
              <w:rPr>
                <w:rFonts w:ascii="Times New Roman" w:hAnsi="Times New Roman"/>
                <w:sz w:val="22"/>
              </w:rPr>
              <w:t>Consumo hace 3 horas</w:t>
            </w:r>
          </w:p>
        </w:tc>
      </w:tr>
      <w:tr>
        <w:tc>
          <w:tcPr>
            <w:tcW w:type="dxa" w:w="4561"/>
          </w:tcPr>
          <w:p>
            <w:r>
              <w:rPr>
                <w:rFonts w:ascii="Times New Roman" w:hAnsi="Times New Roman"/>
                <w:b/>
                <w:sz w:val="22"/>
              </w:rPr>
              <w:t>GAP_lag_96</w:t>
            </w:r>
          </w:p>
        </w:tc>
        <w:tc>
          <w:tcPr>
            <w:tcW w:type="dxa" w:w="4561"/>
          </w:tcPr>
          <w:p>
            <w:r>
              <w:rPr>
                <w:rFonts w:ascii="Times New Roman" w:hAnsi="Times New Roman"/>
                <w:sz w:val="22"/>
              </w:rPr>
              <w:t>Consumo hace 24 horas</w:t>
            </w:r>
          </w:p>
        </w:tc>
      </w:tr>
    </w:tbl>
    <w:p/>
    <w:p>
      <w:pPr>
        <w:spacing w:after="160"/>
        <w:jc w:val="both"/>
      </w:pPr>
      <w:r>
        <w:rPr>
          <w:rFonts w:ascii="Times New Roman" w:hAnsi="Times New Roman"/>
          <w:sz w:val="24"/>
        </w:rPr>
        <w:t>Medias y desviaciones móviles construidas:</w:t>
      </w:r>
    </w:p>
    <w:tbl>
      <w:tblPr>
        <w:tblStyle w:val="TableGrid"/>
        <w:tblW w:type="auto" w:w="0"/>
        <w:tblLook w:firstColumn="1" w:firstRow="1" w:lastColumn="0" w:lastRow="0" w:noHBand="0" w:noVBand="1" w:val="04A0"/>
      </w:tblPr>
      <w:tblGrid>
        <w:gridCol w:w="4561"/>
        <w:gridCol w:w="4561"/>
      </w:tblGrid>
      <w:tr>
        <w:tc>
          <w:tcPr>
            <w:tcW w:type="dxa" w:w="4561"/>
          </w:tcPr>
          <w:p>
            <w:r>
              <w:rPr>
                <w:rFonts w:ascii="Times New Roman" w:hAnsi="Times New Roman"/>
                <w:b/>
                <w:sz w:val="22"/>
              </w:rPr>
              <w:t>Variable</w:t>
            </w:r>
          </w:p>
        </w:tc>
        <w:tc>
          <w:tcPr>
            <w:tcW w:type="dxa" w:w="4561"/>
          </w:tcPr>
          <w:p>
            <w:r>
              <w:rPr>
                <w:rFonts w:ascii="Times New Roman" w:hAnsi="Times New Roman"/>
                <w:b/>
                <w:sz w:val="22"/>
              </w:rPr>
              <w:t>Equivalencia temporal</w:t>
            </w:r>
          </w:p>
        </w:tc>
      </w:tr>
      <w:tr>
        <w:tc>
          <w:tcPr>
            <w:tcW w:type="dxa" w:w="4561"/>
          </w:tcPr>
          <w:p>
            <w:r>
              <w:rPr>
                <w:rFonts w:ascii="Times New Roman" w:hAnsi="Times New Roman"/>
                <w:b/>
                <w:sz w:val="22"/>
              </w:rPr>
              <w:t>GAP_roll_mean_4  / GAP_roll_std_4</w:t>
            </w:r>
          </w:p>
        </w:tc>
        <w:tc>
          <w:tcPr>
            <w:tcW w:type="dxa" w:w="4561"/>
          </w:tcPr>
          <w:p>
            <w:r>
              <w:rPr>
                <w:rFonts w:ascii="Times New Roman" w:hAnsi="Times New Roman"/>
                <w:sz w:val="22"/>
              </w:rPr>
              <w:t>Promedio y desviación de la última hora</w:t>
            </w:r>
          </w:p>
        </w:tc>
      </w:tr>
      <w:tr>
        <w:tc>
          <w:tcPr>
            <w:tcW w:type="dxa" w:w="4561"/>
          </w:tcPr>
          <w:p>
            <w:r>
              <w:rPr>
                <w:rFonts w:ascii="Times New Roman" w:hAnsi="Times New Roman"/>
                <w:b/>
                <w:sz w:val="22"/>
              </w:rPr>
              <w:t>GAP_roll_mean_8  / GAP_roll_std_8</w:t>
            </w:r>
          </w:p>
        </w:tc>
        <w:tc>
          <w:tcPr>
            <w:tcW w:type="dxa" w:w="4561"/>
          </w:tcPr>
          <w:p>
            <w:r>
              <w:rPr>
                <w:rFonts w:ascii="Times New Roman" w:hAnsi="Times New Roman"/>
                <w:sz w:val="22"/>
              </w:rPr>
              <w:t>Promedio y desviación de las últimas 2 horas</w:t>
            </w:r>
          </w:p>
        </w:tc>
      </w:tr>
      <w:tr>
        <w:tc>
          <w:tcPr>
            <w:tcW w:type="dxa" w:w="4561"/>
          </w:tcPr>
          <w:p>
            <w:r>
              <w:rPr>
                <w:rFonts w:ascii="Times New Roman" w:hAnsi="Times New Roman"/>
                <w:b/>
                <w:sz w:val="22"/>
              </w:rPr>
              <w:t>GAP_roll_mean_96 / GAP_roll_std_96</w:t>
            </w:r>
          </w:p>
        </w:tc>
        <w:tc>
          <w:tcPr>
            <w:tcW w:type="dxa" w:w="4561"/>
          </w:tcPr>
          <w:p>
            <w:r>
              <w:rPr>
                <w:rFonts w:ascii="Times New Roman" w:hAnsi="Times New Roman"/>
                <w:sz w:val="22"/>
              </w:rPr>
              <w:t>Promedio y desviación de las últimas 24 horas</w:t>
            </w:r>
          </w:p>
        </w:tc>
      </w:tr>
    </w:tbl>
    <w:p/>
    <w:p>
      <w:pPr>
        <w:pStyle w:val="Heading3"/>
        <w:jc w:val="left"/>
      </w:pPr>
      <w:r>
        <w:rPr>
          <w:rFonts w:ascii="Times New Roman" w:hAnsi="Times New Roman"/>
          <w:b/>
          <w:color w:val="000000"/>
          <w:sz w:val="24"/>
        </w:rPr>
        <w:t>Escenario 2 — 1 Hora</w:t>
      </w:r>
    </w:p>
    <w:p>
      <w:pPr>
        <w:spacing w:after="160"/>
        <w:jc w:val="both"/>
      </w:pPr>
      <w:r>
        <w:rPr>
          <w:rFonts w:ascii="Times New Roman" w:hAnsi="Times New Roman"/>
          <w:sz w:val="24"/>
        </w:rPr>
        <w:t>Variables temporales utilizadas: hora, dia_semana, mes, es_finde.</w:t>
      </w:r>
    </w:p>
    <w:p>
      <w:pPr>
        <w:spacing w:after="160"/>
        <w:jc w:val="both"/>
      </w:pPr>
      <w:r>
        <w:rPr>
          <w:rFonts w:ascii="Times New Roman" w:hAnsi="Times New Roman"/>
          <w:sz w:val="24"/>
        </w:rPr>
        <w:t>Rezagos de GAP construidos:</w:t>
      </w:r>
    </w:p>
    <w:tbl>
      <w:tblPr>
        <w:tblStyle w:val="TableGrid"/>
        <w:tblW w:type="auto" w:w="0"/>
        <w:tblLook w:firstColumn="1" w:firstRow="1" w:lastColumn="0" w:lastRow="0" w:noHBand="0" w:noVBand="1" w:val="04A0"/>
      </w:tblPr>
      <w:tblGrid>
        <w:gridCol w:w="4561"/>
        <w:gridCol w:w="4561"/>
      </w:tblGrid>
      <w:tr>
        <w:tc>
          <w:tcPr>
            <w:tcW w:type="dxa" w:w="4561"/>
          </w:tcPr>
          <w:p>
            <w:r>
              <w:rPr>
                <w:rFonts w:ascii="Times New Roman" w:hAnsi="Times New Roman"/>
                <w:b/>
                <w:sz w:val="22"/>
              </w:rPr>
              <w:t>Variable</w:t>
            </w:r>
          </w:p>
        </w:tc>
        <w:tc>
          <w:tcPr>
            <w:tcW w:type="dxa" w:w="4561"/>
          </w:tcPr>
          <w:p>
            <w:r>
              <w:rPr>
                <w:rFonts w:ascii="Times New Roman" w:hAnsi="Times New Roman"/>
                <w:b/>
                <w:sz w:val="22"/>
              </w:rPr>
              <w:t>Equivalencia temporal</w:t>
            </w:r>
          </w:p>
        </w:tc>
      </w:tr>
      <w:tr>
        <w:tc>
          <w:tcPr>
            <w:tcW w:type="dxa" w:w="4561"/>
          </w:tcPr>
          <w:p>
            <w:r>
              <w:rPr>
                <w:rFonts w:ascii="Times New Roman" w:hAnsi="Times New Roman"/>
                <w:b/>
                <w:sz w:val="22"/>
              </w:rPr>
              <w:t>GAP_lag_1</w:t>
            </w:r>
          </w:p>
        </w:tc>
        <w:tc>
          <w:tcPr>
            <w:tcW w:type="dxa" w:w="4561"/>
          </w:tcPr>
          <w:p>
            <w:r>
              <w:rPr>
                <w:rFonts w:ascii="Times New Roman" w:hAnsi="Times New Roman"/>
                <w:sz w:val="22"/>
              </w:rPr>
              <w:t>Consumo hace 1 hora</w:t>
            </w:r>
          </w:p>
        </w:tc>
      </w:tr>
      <w:tr>
        <w:tc>
          <w:tcPr>
            <w:tcW w:type="dxa" w:w="4561"/>
          </w:tcPr>
          <w:p>
            <w:r>
              <w:rPr>
                <w:rFonts w:ascii="Times New Roman" w:hAnsi="Times New Roman"/>
                <w:b/>
                <w:sz w:val="22"/>
              </w:rPr>
              <w:t>GAP_lag_2</w:t>
            </w:r>
          </w:p>
        </w:tc>
        <w:tc>
          <w:tcPr>
            <w:tcW w:type="dxa" w:w="4561"/>
          </w:tcPr>
          <w:p>
            <w:r>
              <w:rPr>
                <w:rFonts w:ascii="Times New Roman" w:hAnsi="Times New Roman"/>
                <w:sz w:val="22"/>
              </w:rPr>
              <w:t>Consumo hace 2 horas</w:t>
            </w:r>
          </w:p>
        </w:tc>
      </w:tr>
      <w:tr>
        <w:tc>
          <w:tcPr>
            <w:tcW w:type="dxa" w:w="4561"/>
          </w:tcPr>
          <w:p>
            <w:r>
              <w:rPr>
                <w:rFonts w:ascii="Times New Roman" w:hAnsi="Times New Roman"/>
                <w:b/>
                <w:sz w:val="22"/>
              </w:rPr>
              <w:t>GAP_lag_3</w:t>
            </w:r>
          </w:p>
        </w:tc>
        <w:tc>
          <w:tcPr>
            <w:tcW w:type="dxa" w:w="4561"/>
          </w:tcPr>
          <w:p>
            <w:r>
              <w:rPr>
                <w:rFonts w:ascii="Times New Roman" w:hAnsi="Times New Roman"/>
                <w:sz w:val="22"/>
              </w:rPr>
              <w:t>Consumo hace 3 horas</w:t>
            </w:r>
          </w:p>
        </w:tc>
      </w:tr>
      <w:tr>
        <w:tc>
          <w:tcPr>
            <w:tcW w:type="dxa" w:w="4561"/>
          </w:tcPr>
          <w:p>
            <w:r>
              <w:rPr>
                <w:rFonts w:ascii="Times New Roman" w:hAnsi="Times New Roman"/>
                <w:b/>
                <w:sz w:val="22"/>
              </w:rPr>
              <w:t>GAP_lag_6</w:t>
            </w:r>
          </w:p>
        </w:tc>
        <w:tc>
          <w:tcPr>
            <w:tcW w:type="dxa" w:w="4561"/>
          </w:tcPr>
          <w:p>
            <w:r>
              <w:rPr>
                <w:rFonts w:ascii="Times New Roman" w:hAnsi="Times New Roman"/>
                <w:sz w:val="22"/>
              </w:rPr>
              <w:t>Consumo hace 6 horas</w:t>
            </w:r>
          </w:p>
        </w:tc>
      </w:tr>
      <w:tr>
        <w:tc>
          <w:tcPr>
            <w:tcW w:type="dxa" w:w="4561"/>
          </w:tcPr>
          <w:p>
            <w:r>
              <w:rPr>
                <w:rFonts w:ascii="Times New Roman" w:hAnsi="Times New Roman"/>
                <w:b/>
                <w:sz w:val="22"/>
              </w:rPr>
              <w:t>GAP_lag_12</w:t>
            </w:r>
          </w:p>
        </w:tc>
        <w:tc>
          <w:tcPr>
            <w:tcW w:type="dxa" w:w="4561"/>
          </w:tcPr>
          <w:p>
            <w:r>
              <w:rPr>
                <w:rFonts w:ascii="Times New Roman" w:hAnsi="Times New Roman"/>
                <w:sz w:val="22"/>
              </w:rPr>
              <w:t>Consumo hace 12 horas</w:t>
            </w:r>
          </w:p>
        </w:tc>
      </w:tr>
      <w:tr>
        <w:tc>
          <w:tcPr>
            <w:tcW w:type="dxa" w:w="4561"/>
          </w:tcPr>
          <w:p>
            <w:r>
              <w:rPr>
                <w:rFonts w:ascii="Times New Roman" w:hAnsi="Times New Roman"/>
                <w:b/>
                <w:sz w:val="22"/>
              </w:rPr>
              <w:t>GAP_lag_24</w:t>
            </w:r>
          </w:p>
        </w:tc>
        <w:tc>
          <w:tcPr>
            <w:tcW w:type="dxa" w:w="4561"/>
          </w:tcPr>
          <w:p>
            <w:r>
              <w:rPr>
                <w:rFonts w:ascii="Times New Roman" w:hAnsi="Times New Roman"/>
                <w:sz w:val="22"/>
              </w:rPr>
              <w:t>Consumo hace 1 día</w:t>
            </w:r>
          </w:p>
        </w:tc>
      </w:tr>
      <w:tr>
        <w:tc>
          <w:tcPr>
            <w:tcW w:type="dxa" w:w="4561"/>
          </w:tcPr>
          <w:p>
            <w:r>
              <w:rPr>
                <w:rFonts w:ascii="Times New Roman" w:hAnsi="Times New Roman"/>
                <w:b/>
                <w:sz w:val="22"/>
              </w:rPr>
              <w:t>GAP_lag_48</w:t>
            </w:r>
          </w:p>
        </w:tc>
        <w:tc>
          <w:tcPr>
            <w:tcW w:type="dxa" w:w="4561"/>
          </w:tcPr>
          <w:p>
            <w:r>
              <w:rPr>
                <w:rFonts w:ascii="Times New Roman" w:hAnsi="Times New Roman"/>
                <w:sz w:val="22"/>
              </w:rPr>
              <w:t>Consumo hace 2 días</w:t>
            </w:r>
          </w:p>
        </w:tc>
      </w:tr>
      <w:tr>
        <w:tc>
          <w:tcPr>
            <w:tcW w:type="dxa" w:w="4561"/>
          </w:tcPr>
          <w:p>
            <w:r>
              <w:rPr>
                <w:rFonts w:ascii="Times New Roman" w:hAnsi="Times New Roman"/>
                <w:b/>
                <w:sz w:val="22"/>
              </w:rPr>
              <w:t>GAP_lag_168</w:t>
            </w:r>
          </w:p>
        </w:tc>
        <w:tc>
          <w:tcPr>
            <w:tcW w:type="dxa" w:w="4561"/>
          </w:tcPr>
          <w:p>
            <w:r>
              <w:rPr>
                <w:rFonts w:ascii="Times New Roman" w:hAnsi="Times New Roman"/>
                <w:sz w:val="22"/>
              </w:rPr>
              <w:t>Consumo hace 1 semana</w:t>
            </w:r>
          </w:p>
        </w:tc>
      </w:tr>
    </w:tbl>
    <w:p/>
    <w:p>
      <w:pPr>
        <w:spacing w:after="160"/>
        <w:jc w:val="both"/>
      </w:pPr>
      <w:r>
        <w:rPr>
          <w:rFonts w:ascii="Times New Roman" w:hAnsi="Times New Roman"/>
          <w:sz w:val="24"/>
        </w:rPr>
        <w:t>Medias y desviaciones móviles construidas:</w:t>
      </w:r>
    </w:p>
    <w:tbl>
      <w:tblPr>
        <w:tblStyle w:val="TableGrid"/>
        <w:tblW w:type="auto" w:w="0"/>
        <w:tblLook w:firstColumn="1" w:firstRow="1" w:lastColumn="0" w:lastRow="0" w:noHBand="0" w:noVBand="1" w:val="04A0"/>
      </w:tblPr>
      <w:tblGrid>
        <w:gridCol w:w="4561"/>
        <w:gridCol w:w="4561"/>
      </w:tblGrid>
      <w:tr>
        <w:tc>
          <w:tcPr>
            <w:tcW w:type="dxa" w:w="4561"/>
          </w:tcPr>
          <w:p>
            <w:r>
              <w:rPr>
                <w:rFonts w:ascii="Times New Roman" w:hAnsi="Times New Roman"/>
                <w:b/>
                <w:sz w:val="22"/>
              </w:rPr>
              <w:t>Variable</w:t>
            </w:r>
          </w:p>
        </w:tc>
        <w:tc>
          <w:tcPr>
            <w:tcW w:type="dxa" w:w="4561"/>
          </w:tcPr>
          <w:p>
            <w:r>
              <w:rPr>
                <w:rFonts w:ascii="Times New Roman" w:hAnsi="Times New Roman"/>
                <w:b/>
                <w:sz w:val="22"/>
              </w:rPr>
              <w:t>Equivalencia temporal</w:t>
            </w:r>
          </w:p>
        </w:tc>
      </w:tr>
      <w:tr>
        <w:tc>
          <w:tcPr>
            <w:tcW w:type="dxa" w:w="4561"/>
          </w:tcPr>
          <w:p>
            <w:r>
              <w:rPr>
                <w:rFonts w:ascii="Times New Roman" w:hAnsi="Times New Roman"/>
                <w:b/>
                <w:sz w:val="22"/>
              </w:rPr>
              <w:t>GAP_roll_mean_6   / GAP_roll_std_6</w:t>
            </w:r>
          </w:p>
        </w:tc>
        <w:tc>
          <w:tcPr>
            <w:tcW w:type="dxa" w:w="4561"/>
          </w:tcPr>
          <w:p>
            <w:r>
              <w:rPr>
                <w:rFonts w:ascii="Times New Roman" w:hAnsi="Times New Roman"/>
                <w:sz w:val="22"/>
              </w:rPr>
              <w:t>Promedio y desviación de las últimas 6 horas</w:t>
            </w:r>
          </w:p>
        </w:tc>
      </w:tr>
      <w:tr>
        <w:tc>
          <w:tcPr>
            <w:tcW w:type="dxa" w:w="4561"/>
          </w:tcPr>
          <w:p>
            <w:r>
              <w:rPr>
                <w:rFonts w:ascii="Times New Roman" w:hAnsi="Times New Roman"/>
                <w:b/>
                <w:sz w:val="22"/>
              </w:rPr>
              <w:t>GAP_roll_mean_24  / GAP_roll_std_24</w:t>
            </w:r>
          </w:p>
        </w:tc>
        <w:tc>
          <w:tcPr>
            <w:tcW w:type="dxa" w:w="4561"/>
          </w:tcPr>
          <w:p>
            <w:r>
              <w:rPr>
                <w:rFonts w:ascii="Times New Roman" w:hAnsi="Times New Roman"/>
                <w:sz w:val="22"/>
              </w:rPr>
              <w:t>Promedio y desviación del último día</w:t>
            </w:r>
          </w:p>
        </w:tc>
      </w:tr>
      <w:tr>
        <w:tc>
          <w:tcPr>
            <w:tcW w:type="dxa" w:w="4561"/>
          </w:tcPr>
          <w:p>
            <w:r>
              <w:rPr>
                <w:rFonts w:ascii="Times New Roman" w:hAnsi="Times New Roman"/>
                <w:b/>
                <w:sz w:val="22"/>
              </w:rPr>
              <w:t>GAP_roll_mean_168 / GAP_roll_std_168</w:t>
            </w:r>
          </w:p>
        </w:tc>
        <w:tc>
          <w:tcPr>
            <w:tcW w:type="dxa" w:w="4561"/>
          </w:tcPr>
          <w:p>
            <w:r>
              <w:rPr>
                <w:rFonts w:ascii="Times New Roman" w:hAnsi="Times New Roman"/>
                <w:sz w:val="22"/>
              </w:rPr>
              <w:t>Promedio y desviación de la última semana</w:t>
            </w:r>
          </w:p>
        </w:tc>
      </w:tr>
    </w:tbl>
    <w:p/>
    <w:p>
      <w:pPr>
        <w:pStyle w:val="Heading3"/>
        <w:jc w:val="left"/>
      </w:pPr>
      <w:r>
        <w:rPr>
          <w:rFonts w:ascii="Times New Roman" w:hAnsi="Times New Roman"/>
          <w:b/>
          <w:color w:val="000000"/>
          <w:sz w:val="24"/>
        </w:rPr>
        <w:t>Escenario 3 — 1 Día</w:t>
      </w:r>
    </w:p>
    <w:p>
      <w:pPr>
        <w:spacing w:after="160"/>
        <w:jc w:val="both"/>
      </w:pPr>
      <w:r>
        <w:rPr>
          <w:rFonts w:ascii="Times New Roman" w:hAnsi="Times New Roman"/>
          <w:sz w:val="24"/>
        </w:rPr>
        <w:t>Variables temporales utilizadas: dia_semana, mes, trimestre, dia_anio, es_finde. (No se incluye "hora" porque los datos son diarios.)</w:t>
      </w:r>
    </w:p>
    <w:p>
      <w:pPr>
        <w:spacing w:after="160"/>
        <w:jc w:val="both"/>
      </w:pPr>
      <w:r>
        <w:rPr>
          <w:rFonts w:ascii="Times New Roman" w:hAnsi="Times New Roman"/>
          <w:sz w:val="24"/>
        </w:rPr>
        <w:t>Rezagos de GAP construidos:</w:t>
      </w:r>
    </w:p>
    <w:tbl>
      <w:tblPr>
        <w:tblStyle w:val="TableGrid"/>
        <w:tblW w:type="auto" w:w="0"/>
        <w:tblLook w:firstColumn="1" w:firstRow="1" w:lastColumn="0" w:lastRow="0" w:noHBand="0" w:noVBand="1" w:val="04A0"/>
      </w:tblPr>
      <w:tblGrid>
        <w:gridCol w:w="4561"/>
        <w:gridCol w:w="4561"/>
      </w:tblGrid>
      <w:tr>
        <w:tc>
          <w:tcPr>
            <w:tcW w:type="dxa" w:w="4561"/>
          </w:tcPr>
          <w:p>
            <w:r>
              <w:rPr>
                <w:rFonts w:ascii="Times New Roman" w:hAnsi="Times New Roman"/>
                <w:b/>
                <w:sz w:val="22"/>
              </w:rPr>
              <w:t>Variable</w:t>
            </w:r>
          </w:p>
        </w:tc>
        <w:tc>
          <w:tcPr>
            <w:tcW w:type="dxa" w:w="4561"/>
          </w:tcPr>
          <w:p>
            <w:r>
              <w:rPr>
                <w:rFonts w:ascii="Times New Roman" w:hAnsi="Times New Roman"/>
                <w:b/>
                <w:sz w:val="22"/>
              </w:rPr>
              <w:t>Equivalencia temporal</w:t>
            </w:r>
          </w:p>
        </w:tc>
      </w:tr>
      <w:tr>
        <w:tc>
          <w:tcPr>
            <w:tcW w:type="dxa" w:w="4561"/>
          </w:tcPr>
          <w:p>
            <w:r>
              <w:rPr>
                <w:rFonts w:ascii="Times New Roman" w:hAnsi="Times New Roman"/>
                <w:b/>
                <w:sz w:val="22"/>
              </w:rPr>
              <w:t>GAP_lag_1</w:t>
            </w:r>
          </w:p>
        </w:tc>
        <w:tc>
          <w:tcPr>
            <w:tcW w:type="dxa" w:w="4561"/>
          </w:tcPr>
          <w:p>
            <w:r>
              <w:rPr>
                <w:rFonts w:ascii="Times New Roman" w:hAnsi="Times New Roman"/>
                <w:sz w:val="22"/>
              </w:rPr>
              <w:t>Consumo de ayer</w:t>
            </w:r>
          </w:p>
        </w:tc>
      </w:tr>
      <w:tr>
        <w:tc>
          <w:tcPr>
            <w:tcW w:type="dxa" w:w="4561"/>
          </w:tcPr>
          <w:p>
            <w:r>
              <w:rPr>
                <w:rFonts w:ascii="Times New Roman" w:hAnsi="Times New Roman"/>
                <w:b/>
                <w:sz w:val="22"/>
              </w:rPr>
              <w:t>GAP_lag_2</w:t>
            </w:r>
          </w:p>
        </w:tc>
        <w:tc>
          <w:tcPr>
            <w:tcW w:type="dxa" w:w="4561"/>
          </w:tcPr>
          <w:p>
            <w:r>
              <w:rPr>
                <w:rFonts w:ascii="Times New Roman" w:hAnsi="Times New Roman"/>
                <w:sz w:val="22"/>
              </w:rPr>
              <w:t>Consumo de hace 2 días</w:t>
            </w:r>
          </w:p>
        </w:tc>
      </w:tr>
      <w:tr>
        <w:tc>
          <w:tcPr>
            <w:tcW w:type="dxa" w:w="4561"/>
          </w:tcPr>
          <w:p>
            <w:r>
              <w:rPr>
                <w:rFonts w:ascii="Times New Roman" w:hAnsi="Times New Roman"/>
                <w:b/>
                <w:sz w:val="22"/>
              </w:rPr>
              <w:t>GAP_lag_3</w:t>
            </w:r>
          </w:p>
        </w:tc>
        <w:tc>
          <w:tcPr>
            <w:tcW w:type="dxa" w:w="4561"/>
          </w:tcPr>
          <w:p>
            <w:r>
              <w:rPr>
                <w:rFonts w:ascii="Times New Roman" w:hAnsi="Times New Roman"/>
                <w:sz w:val="22"/>
              </w:rPr>
              <w:t>Consumo de hace 3 días</w:t>
            </w:r>
          </w:p>
        </w:tc>
      </w:tr>
      <w:tr>
        <w:tc>
          <w:tcPr>
            <w:tcW w:type="dxa" w:w="4561"/>
          </w:tcPr>
          <w:p>
            <w:r>
              <w:rPr>
                <w:rFonts w:ascii="Times New Roman" w:hAnsi="Times New Roman"/>
                <w:b/>
                <w:sz w:val="22"/>
              </w:rPr>
              <w:t>GAP_lag_7</w:t>
            </w:r>
          </w:p>
        </w:tc>
        <w:tc>
          <w:tcPr>
            <w:tcW w:type="dxa" w:w="4561"/>
          </w:tcPr>
          <w:p>
            <w:r>
              <w:rPr>
                <w:rFonts w:ascii="Times New Roman" w:hAnsi="Times New Roman"/>
                <w:sz w:val="22"/>
              </w:rPr>
              <w:t>Consumo de hace 1 semana</w:t>
            </w:r>
          </w:p>
        </w:tc>
      </w:tr>
      <w:tr>
        <w:tc>
          <w:tcPr>
            <w:tcW w:type="dxa" w:w="4561"/>
          </w:tcPr>
          <w:p>
            <w:r>
              <w:rPr>
                <w:rFonts w:ascii="Times New Roman" w:hAnsi="Times New Roman"/>
                <w:b/>
                <w:sz w:val="22"/>
              </w:rPr>
              <w:t>GAP_lag_14</w:t>
            </w:r>
          </w:p>
        </w:tc>
        <w:tc>
          <w:tcPr>
            <w:tcW w:type="dxa" w:w="4561"/>
          </w:tcPr>
          <w:p>
            <w:r>
              <w:rPr>
                <w:rFonts w:ascii="Times New Roman" w:hAnsi="Times New Roman"/>
                <w:sz w:val="22"/>
              </w:rPr>
              <w:t>Consumo de hace 2 semanas</w:t>
            </w:r>
          </w:p>
        </w:tc>
      </w:tr>
      <w:tr>
        <w:tc>
          <w:tcPr>
            <w:tcW w:type="dxa" w:w="4561"/>
          </w:tcPr>
          <w:p>
            <w:r>
              <w:rPr>
                <w:rFonts w:ascii="Times New Roman" w:hAnsi="Times New Roman"/>
                <w:b/>
                <w:sz w:val="22"/>
              </w:rPr>
              <w:t>GAP_lag_30</w:t>
            </w:r>
          </w:p>
        </w:tc>
        <w:tc>
          <w:tcPr>
            <w:tcW w:type="dxa" w:w="4561"/>
          </w:tcPr>
          <w:p>
            <w:r>
              <w:rPr>
                <w:rFonts w:ascii="Times New Roman" w:hAnsi="Times New Roman"/>
                <w:sz w:val="22"/>
              </w:rPr>
              <w:t>Consumo de hace ~1 mes</w:t>
            </w:r>
          </w:p>
        </w:tc>
      </w:tr>
    </w:tbl>
    <w:p/>
    <w:p>
      <w:pPr>
        <w:spacing w:after="160"/>
        <w:jc w:val="both"/>
      </w:pPr>
      <w:r>
        <w:rPr>
          <w:rFonts w:ascii="Times New Roman" w:hAnsi="Times New Roman"/>
          <w:sz w:val="24"/>
        </w:rPr>
        <w:t>Medias y desviaciones móviles construidas:</w:t>
      </w:r>
    </w:p>
    <w:tbl>
      <w:tblPr>
        <w:tblStyle w:val="TableGrid"/>
        <w:tblW w:type="auto" w:w="0"/>
        <w:tblLook w:firstColumn="1" w:firstRow="1" w:lastColumn="0" w:lastRow="0" w:noHBand="0" w:noVBand="1" w:val="04A0"/>
      </w:tblPr>
      <w:tblGrid>
        <w:gridCol w:w="4561"/>
        <w:gridCol w:w="4561"/>
      </w:tblGrid>
      <w:tr>
        <w:tc>
          <w:tcPr>
            <w:tcW w:type="dxa" w:w="4561"/>
          </w:tcPr>
          <w:p>
            <w:r>
              <w:rPr>
                <w:rFonts w:ascii="Times New Roman" w:hAnsi="Times New Roman"/>
                <w:b/>
                <w:sz w:val="22"/>
              </w:rPr>
              <w:t>Variable</w:t>
            </w:r>
          </w:p>
        </w:tc>
        <w:tc>
          <w:tcPr>
            <w:tcW w:type="dxa" w:w="4561"/>
          </w:tcPr>
          <w:p>
            <w:r>
              <w:rPr>
                <w:rFonts w:ascii="Times New Roman" w:hAnsi="Times New Roman"/>
                <w:b/>
                <w:sz w:val="22"/>
              </w:rPr>
              <w:t>Equivalencia temporal</w:t>
            </w:r>
          </w:p>
        </w:tc>
      </w:tr>
      <w:tr>
        <w:tc>
          <w:tcPr>
            <w:tcW w:type="dxa" w:w="4561"/>
          </w:tcPr>
          <w:p>
            <w:r>
              <w:rPr>
                <w:rFonts w:ascii="Times New Roman" w:hAnsi="Times New Roman"/>
                <w:b/>
                <w:sz w:val="22"/>
              </w:rPr>
              <w:t>GAP_roll_mean_7  / GAP_roll_std_7</w:t>
            </w:r>
          </w:p>
        </w:tc>
        <w:tc>
          <w:tcPr>
            <w:tcW w:type="dxa" w:w="4561"/>
          </w:tcPr>
          <w:p>
            <w:r>
              <w:rPr>
                <w:rFonts w:ascii="Times New Roman" w:hAnsi="Times New Roman"/>
                <w:sz w:val="22"/>
              </w:rPr>
              <w:t>Promedio y desviación de la última semana</w:t>
            </w:r>
          </w:p>
        </w:tc>
      </w:tr>
      <w:tr>
        <w:tc>
          <w:tcPr>
            <w:tcW w:type="dxa" w:w="4561"/>
          </w:tcPr>
          <w:p>
            <w:r>
              <w:rPr>
                <w:rFonts w:ascii="Times New Roman" w:hAnsi="Times New Roman"/>
                <w:b/>
                <w:sz w:val="22"/>
              </w:rPr>
              <w:t>GAP_roll_mean_14 / GAP_roll_std_14</w:t>
            </w:r>
          </w:p>
        </w:tc>
        <w:tc>
          <w:tcPr>
            <w:tcW w:type="dxa" w:w="4561"/>
          </w:tcPr>
          <w:p>
            <w:r>
              <w:rPr>
                <w:rFonts w:ascii="Times New Roman" w:hAnsi="Times New Roman"/>
                <w:sz w:val="22"/>
              </w:rPr>
              <w:t>Promedio y desviación de las últimas 2 semanas</w:t>
            </w:r>
          </w:p>
        </w:tc>
      </w:tr>
      <w:tr>
        <w:tc>
          <w:tcPr>
            <w:tcW w:type="dxa" w:w="4561"/>
          </w:tcPr>
          <w:p>
            <w:r>
              <w:rPr>
                <w:rFonts w:ascii="Times New Roman" w:hAnsi="Times New Roman"/>
                <w:b/>
                <w:sz w:val="22"/>
              </w:rPr>
              <w:t>GAP_roll_mean_30 / GAP_roll_std_30</w:t>
            </w:r>
          </w:p>
        </w:tc>
        <w:tc>
          <w:tcPr>
            <w:tcW w:type="dxa" w:w="4561"/>
          </w:tcPr>
          <w:p>
            <w:r>
              <w:rPr>
                <w:rFonts w:ascii="Times New Roman" w:hAnsi="Times New Roman"/>
                <w:sz w:val="22"/>
              </w:rPr>
              <w:t>Promedio y desviación del último mes</w:t>
            </w:r>
          </w:p>
        </w:tc>
      </w:tr>
    </w:tbl>
    <w:p/>
    <w:p>
      <w:r>
        <w:br w:type="page"/>
      </w:r>
    </w:p>
    <w:p>
      <w:pPr>
        <w:pStyle w:val="Heading1"/>
        <w:jc w:val="left"/>
      </w:pPr>
      <w:r>
        <w:rPr>
          <w:rFonts w:ascii="Times New Roman" w:hAnsi="Times New Roman"/>
          <w:b/>
          <w:color w:val="000000"/>
          <w:sz w:val="32"/>
        </w:rPr>
        <w:t>4. Modelos y Resultados</w:t>
      </w:r>
    </w:p>
    <w:p>
      <w:pPr>
        <w:spacing w:after="160"/>
        <w:jc w:val="both"/>
      </w:pPr>
      <w:r>
        <w:rPr>
          <w:rFonts w:ascii="Times New Roman" w:hAnsi="Times New Roman"/>
          <w:sz w:val="24"/>
        </w:rPr>
        <w:t>Se evaluaron tres algoritmos de machine learning en cada uno de los tres escenarios: Random Forest, XGBoost y Support Vector Regression (SVR). La evaluación se realizó sobre el conjunto de prueba (20% cronológico final) utilizando cuatro métricas: RMSE, MAE, MAPE y R².</w:t>
      </w:r>
    </w:p>
    <w:p>
      <w:pPr>
        <w:pStyle w:val="Heading2"/>
        <w:jc w:val="left"/>
      </w:pPr>
      <w:r>
        <w:rPr>
          <w:rFonts w:ascii="Times New Roman" w:hAnsi="Times New Roman"/>
          <w:b/>
          <w:color w:val="000000"/>
          <w:sz w:val="26"/>
        </w:rPr>
        <w:t>4.1 Descripción de los Modelos</w:t>
      </w:r>
    </w:p>
    <w:p>
      <w:pPr>
        <w:pStyle w:val="Heading3"/>
        <w:jc w:val="left"/>
      </w:pPr>
      <w:r>
        <w:rPr>
          <w:rFonts w:ascii="Times New Roman" w:hAnsi="Times New Roman"/>
          <w:b/>
          <w:color w:val="000000"/>
          <w:sz w:val="24"/>
        </w:rPr>
        <w:t>Random Forest</w:t>
      </w:r>
    </w:p>
    <w:p>
      <w:pPr>
        <w:spacing w:after="160"/>
        <w:jc w:val="both"/>
      </w:pPr>
      <w:r>
        <w:rPr>
          <w:rFonts w:ascii="Times New Roman" w:hAnsi="Times New Roman"/>
          <w:sz w:val="24"/>
        </w:rPr>
        <w:t>Es un modelo de ensamble que construye múltiples árboles de decisión de forma independiente y promedia sus predicciones. Su fortaleza reside en su robustez ante datos ruidosos y su capacidad para capturar relaciones no lineales sin necesidad de escalar los datos.</w:t>
      </w:r>
    </w:p>
    <w:p>
      <w:pPr>
        <w:pStyle w:val="Heading3"/>
        <w:jc w:val="left"/>
      </w:pPr>
      <w:r>
        <w:rPr>
          <w:rFonts w:ascii="Times New Roman" w:hAnsi="Times New Roman"/>
          <w:b/>
          <w:color w:val="000000"/>
          <w:sz w:val="24"/>
        </w:rPr>
        <w:t>XGBoost</w:t>
      </w:r>
    </w:p>
    <w:p>
      <w:pPr>
        <w:spacing w:after="160"/>
        <w:jc w:val="both"/>
      </w:pPr>
      <w:r>
        <w:rPr>
          <w:rFonts w:ascii="Times New Roman" w:hAnsi="Times New Roman"/>
          <w:sz w:val="24"/>
        </w:rPr>
        <w:t>Es un modelo de ensamble basado en gradient boosting, donde cada árbol corrige los errores del árbol anterior. Es conocido por su alta precisión y eficiencia computacional, siendo uno de los algoritmos más utilizados en competencias de ciencia de datos.</w:t>
      </w:r>
    </w:p>
    <w:p>
      <w:pPr>
        <w:pStyle w:val="Heading3"/>
        <w:jc w:val="left"/>
      </w:pPr>
      <w:r>
        <w:rPr>
          <w:rFonts w:ascii="Times New Roman" w:hAnsi="Times New Roman"/>
          <w:b/>
          <w:color w:val="000000"/>
          <w:sz w:val="24"/>
        </w:rPr>
        <w:t>SVR — Support Vector Regression</w:t>
      </w:r>
    </w:p>
    <w:p>
      <w:pPr>
        <w:spacing w:after="160"/>
        <w:jc w:val="both"/>
      </w:pPr>
      <w:r>
        <w:rPr>
          <w:rFonts w:ascii="Times New Roman" w:hAnsi="Times New Roman"/>
          <w:sz w:val="24"/>
        </w:rPr>
        <w:t>Es una extensión de las máquinas de soporte vectorial para problemas de regresión. Busca encontrar una función que se ajuste a los datos dentro de un margen de tolerancia definido. Requiere escalado previo de los datos y puede ser costoso computacionalmente en datasets grandes.</w:t>
      </w:r>
    </w:p>
    <w:p>
      <w:pPr>
        <w:pStyle w:val="Heading2"/>
        <w:jc w:val="left"/>
      </w:pPr>
      <w:r>
        <w:rPr>
          <w:rFonts w:ascii="Times New Roman" w:hAnsi="Times New Roman"/>
          <w:b/>
          <w:color w:val="000000"/>
          <w:sz w:val="26"/>
        </w:rPr>
        <w:t>4.2 Resultados Base (sin ajuste de hiperparámetros)</w:t>
      </w:r>
    </w:p>
    <w:p>
      <w:pPr>
        <w:spacing w:after="160"/>
        <w:jc w:val="both"/>
      </w:pPr>
      <w:r>
        <w:rPr>
          <w:rFonts w:ascii="Times New Roman" w:hAnsi="Times New Roman"/>
          <w:sz w:val="24"/>
        </w:rPr>
        <w:t>La siguiente tabla presenta los resultados obtenidos con la configuración base de cada modelo:</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rFonts w:ascii="Times New Roman" w:hAnsi="Times New Roman"/>
                <w:b/>
                <w:sz w:val="22"/>
              </w:rPr>
              <w:t>Escenario</w:t>
            </w:r>
          </w:p>
        </w:tc>
        <w:tc>
          <w:tcPr>
            <w:tcW w:type="dxa" w:w="1520"/>
          </w:tcPr>
          <w:p>
            <w:r>
              <w:rPr>
                <w:rFonts w:ascii="Times New Roman" w:hAnsi="Times New Roman"/>
                <w:b/>
                <w:sz w:val="22"/>
              </w:rPr>
              <w:t>Modelo</w:t>
            </w:r>
          </w:p>
        </w:tc>
        <w:tc>
          <w:tcPr>
            <w:tcW w:type="dxa" w:w="1520"/>
          </w:tcPr>
          <w:p>
            <w:r>
              <w:rPr>
                <w:rFonts w:ascii="Times New Roman" w:hAnsi="Times New Roman"/>
                <w:b/>
                <w:sz w:val="22"/>
              </w:rPr>
              <w:t>RMSE</w:t>
            </w:r>
          </w:p>
        </w:tc>
        <w:tc>
          <w:tcPr>
            <w:tcW w:type="dxa" w:w="1520"/>
          </w:tcPr>
          <w:p>
            <w:r>
              <w:rPr>
                <w:rFonts w:ascii="Times New Roman" w:hAnsi="Times New Roman"/>
                <w:b/>
                <w:sz w:val="22"/>
              </w:rPr>
              <w:t>MAE</w:t>
            </w:r>
          </w:p>
        </w:tc>
        <w:tc>
          <w:tcPr>
            <w:tcW w:type="dxa" w:w="1520"/>
          </w:tcPr>
          <w:p>
            <w:r>
              <w:rPr>
                <w:rFonts w:ascii="Times New Roman" w:hAnsi="Times New Roman"/>
                <w:b/>
                <w:sz w:val="22"/>
              </w:rPr>
              <w:t>MAPE</w:t>
            </w:r>
          </w:p>
        </w:tc>
        <w:tc>
          <w:tcPr>
            <w:tcW w:type="dxa" w:w="1520"/>
          </w:tcPr>
          <w:p>
            <w:r>
              <w:rPr>
                <w:rFonts w:ascii="Times New Roman" w:hAnsi="Times New Roman"/>
                <w:b/>
                <w:sz w:val="22"/>
              </w:rPr>
              <w:t>R²</w:t>
            </w:r>
          </w:p>
        </w:tc>
      </w:tr>
      <w:tr>
        <w:tc>
          <w:tcPr>
            <w:tcW w:type="dxa" w:w="1520"/>
          </w:tcPr>
          <w:p>
            <w:r>
              <w:rPr>
                <w:rFonts w:ascii="Times New Roman" w:hAnsi="Times New Roman"/>
                <w:b w:val="0"/>
                <w:sz w:val="22"/>
              </w:rPr>
              <w:t>15 minutos</w:t>
            </w:r>
          </w:p>
        </w:tc>
        <w:tc>
          <w:tcPr>
            <w:tcW w:type="dxa" w:w="1520"/>
          </w:tcPr>
          <w:p>
            <w:r>
              <w:rPr>
                <w:rFonts w:ascii="Times New Roman" w:hAnsi="Times New Roman"/>
                <w:b w:val="0"/>
                <w:sz w:val="22"/>
              </w:rPr>
              <w:t>Random Forest</w:t>
            </w:r>
          </w:p>
        </w:tc>
        <w:tc>
          <w:tcPr>
            <w:tcW w:type="dxa" w:w="1520"/>
          </w:tcPr>
          <w:p>
            <w:r>
              <w:rPr>
                <w:rFonts w:ascii="Times New Roman" w:hAnsi="Times New Roman"/>
                <w:b w:val="0"/>
                <w:sz w:val="22"/>
              </w:rPr>
              <w:t>0.2013</w:t>
            </w:r>
          </w:p>
        </w:tc>
        <w:tc>
          <w:tcPr>
            <w:tcW w:type="dxa" w:w="1520"/>
          </w:tcPr>
          <w:p>
            <w:r>
              <w:rPr>
                <w:rFonts w:ascii="Times New Roman" w:hAnsi="Times New Roman"/>
                <w:b w:val="0"/>
                <w:sz w:val="22"/>
              </w:rPr>
              <w:t>0.1194</w:t>
            </w:r>
          </w:p>
        </w:tc>
        <w:tc>
          <w:tcPr>
            <w:tcW w:type="dxa" w:w="1520"/>
          </w:tcPr>
          <w:p>
            <w:r>
              <w:rPr>
                <w:rFonts w:ascii="Times New Roman" w:hAnsi="Times New Roman"/>
                <w:b w:val="0"/>
                <w:sz w:val="22"/>
              </w:rPr>
              <w:t>14.79%</w:t>
            </w:r>
          </w:p>
        </w:tc>
        <w:tc>
          <w:tcPr>
            <w:tcW w:type="dxa" w:w="1520"/>
          </w:tcPr>
          <w:p>
            <w:r>
              <w:rPr>
                <w:rFonts w:ascii="Times New Roman" w:hAnsi="Times New Roman"/>
                <w:b w:val="0"/>
                <w:sz w:val="22"/>
              </w:rPr>
              <w:t>0.9144</w:t>
            </w:r>
          </w:p>
        </w:tc>
      </w:tr>
      <w:tr>
        <w:tc>
          <w:tcPr>
            <w:tcW w:type="dxa" w:w="1520"/>
          </w:tcPr>
          <w:p>
            <w:r>
              <w:rPr>
                <w:rFonts w:ascii="Times New Roman" w:hAnsi="Times New Roman"/>
                <w:b w:val="0"/>
                <w:sz w:val="22"/>
              </w:rPr>
              <w:t>15 minutos</w:t>
            </w:r>
          </w:p>
        </w:tc>
        <w:tc>
          <w:tcPr>
            <w:tcW w:type="dxa" w:w="1520"/>
          </w:tcPr>
          <w:p>
            <w:r>
              <w:rPr>
                <w:rFonts w:ascii="Times New Roman" w:hAnsi="Times New Roman"/>
                <w:b w:val="0"/>
                <w:sz w:val="22"/>
              </w:rPr>
              <w:t>XGBoost</w:t>
            </w:r>
          </w:p>
        </w:tc>
        <w:tc>
          <w:tcPr>
            <w:tcW w:type="dxa" w:w="1520"/>
          </w:tcPr>
          <w:p>
            <w:r>
              <w:rPr>
                <w:rFonts w:ascii="Times New Roman" w:hAnsi="Times New Roman"/>
                <w:b w:val="0"/>
                <w:sz w:val="22"/>
              </w:rPr>
              <w:t>0.1949</w:t>
            </w:r>
          </w:p>
        </w:tc>
        <w:tc>
          <w:tcPr>
            <w:tcW w:type="dxa" w:w="1520"/>
          </w:tcPr>
          <w:p>
            <w:r>
              <w:rPr>
                <w:rFonts w:ascii="Times New Roman" w:hAnsi="Times New Roman"/>
                <w:b w:val="0"/>
                <w:sz w:val="22"/>
              </w:rPr>
              <w:t>0.1181</w:t>
            </w:r>
          </w:p>
        </w:tc>
        <w:tc>
          <w:tcPr>
            <w:tcW w:type="dxa" w:w="1520"/>
          </w:tcPr>
          <w:p>
            <w:r>
              <w:rPr>
                <w:rFonts w:ascii="Times New Roman" w:hAnsi="Times New Roman"/>
                <w:b w:val="0"/>
                <w:sz w:val="22"/>
              </w:rPr>
              <w:t>14.89%</w:t>
            </w:r>
          </w:p>
        </w:tc>
        <w:tc>
          <w:tcPr>
            <w:tcW w:type="dxa" w:w="1520"/>
          </w:tcPr>
          <w:p>
            <w:r>
              <w:rPr>
                <w:rFonts w:ascii="Times New Roman" w:hAnsi="Times New Roman"/>
                <w:b w:val="0"/>
                <w:sz w:val="22"/>
              </w:rPr>
              <w:t>0.9198</w:t>
            </w:r>
          </w:p>
        </w:tc>
      </w:tr>
      <w:tr>
        <w:tc>
          <w:tcPr>
            <w:tcW w:type="dxa" w:w="1520"/>
          </w:tcPr>
          <w:p>
            <w:r>
              <w:rPr>
                <w:rFonts w:ascii="Times New Roman" w:hAnsi="Times New Roman"/>
                <w:b w:val="0"/>
                <w:sz w:val="22"/>
              </w:rPr>
              <w:t>15 minutos</w:t>
            </w:r>
          </w:p>
        </w:tc>
        <w:tc>
          <w:tcPr>
            <w:tcW w:type="dxa" w:w="1520"/>
          </w:tcPr>
          <w:p>
            <w:r>
              <w:rPr>
                <w:rFonts w:ascii="Times New Roman" w:hAnsi="Times New Roman"/>
                <w:b w:val="0"/>
                <w:sz w:val="22"/>
              </w:rPr>
              <w:t>SVR</w:t>
            </w:r>
          </w:p>
        </w:tc>
        <w:tc>
          <w:tcPr>
            <w:tcW w:type="dxa" w:w="1520"/>
          </w:tcPr>
          <w:p>
            <w:r>
              <w:rPr>
                <w:rFonts w:ascii="Times New Roman" w:hAnsi="Times New Roman"/>
                <w:b w:val="0"/>
                <w:sz w:val="22"/>
              </w:rPr>
              <w:t>0.2585</w:t>
            </w:r>
          </w:p>
        </w:tc>
        <w:tc>
          <w:tcPr>
            <w:tcW w:type="dxa" w:w="1520"/>
          </w:tcPr>
          <w:p>
            <w:r>
              <w:rPr>
                <w:rFonts w:ascii="Times New Roman" w:hAnsi="Times New Roman"/>
                <w:b w:val="0"/>
                <w:sz w:val="22"/>
              </w:rPr>
              <w:t>0.1701</w:t>
            </w:r>
          </w:p>
        </w:tc>
        <w:tc>
          <w:tcPr>
            <w:tcW w:type="dxa" w:w="1520"/>
          </w:tcPr>
          <w:p>
            <w:r>
              <w:rPr>
                <w:rFonts w:ascii="Times New Roman" w:hAnsi="Times New Roman"/>
                <w:b w:val="0"/>
                <w:sz w:val="22"/>
              </w:rPr>
              <w:t>24.25%</w:t>
            </w:r>
          </w:p>
        </w:tc>
        <w:tc>
          <w:tcPr>
            <w:tcW w:type="dxa" w:w="1520"/>
          </w:tcPr>
          <w:p>
            <w:r>
              <w:rPr>
                <w:rFonts w:ascii="Times New Roman" w:hAnsi="Times New Roman"/>
                <w:b w:val="0"/>
                <w:sz w:val="22"/>
              </w:rPr>
              <w:t>0.8589</w:t>
            </w:r>
          </w:p>
        </w:tc>
      </w:tr>
      <w:tr>
        <w:tc>
          <w:tcPr>
            <w:tcW w:type="dxa" w:w="1520"/>
          </w:tcPr>
          <w:p>
            <w:r>
              <w:rPr>
                <w:rFonts w:ascii="Times New Roman" w:hAnsi="Times New Roman"/>
                <w:b w:val="0"/>
                <w:sz w:val="22"/>
              </w:rPr>
              <w:t>1 hora</w:t>
            </w:r>
          </w:p>
        </w:tc>
        <w:tc>
          <w:tcPr>
            <w:tcW w:type="dxa" w:w="1520"/>
          </w:tcPr>
          <w:p>
            <w:r>
              <w:rPr>
                <w:rFonts w:ascii="Times New Roman" w:hAnsi="Times New Roman"/>
                <w:b w:val="0"/>
                <w:sz w:val="22"/>
              </w:rPr>
              <w:t>Random Forest</w:t>
            </w:r>
          </w:p>
        </w:tc>
        <w:tc>
          <w:tcPr>
            <w:tcW w:type="dxa" w:w="1520"/>
          </w:tcPr>
          <w:p>
            <w:r>
              <w:rPr>
                <w:rFonts w:ascii="Times New Roman" w:hAnsi="Times New Roman"/>
                <w:b w:val="0"/>
                <w:sz w:val="22"/>
              </w:rPr>
              <w:t>0.2200</w:t>
            </w:r>
          </w:p>
        </w:tc>
        <w:tc>
          <w:tcPr>
            <w:tcW w:type="dxa" w:w="1520"/>
          </w:tcPr>
          <w:p>
            <w:r>
              <w:rPr>
                <w:rFonts w:ascii="Times New Roman" w:hAnsi="Times New Roman"/>
                <w:b w:val="0"/>
                <w:sz w:val="22"/>
              </w:rPr>
              <w:t>0.1431</w:t>
            </w:r>
          </w:p>
        </w:tc>
        <w:tc>
          <w:tcPr>
            <w:tcW w:type="dxa" w:w="1520"/>
          </w:tcPr>
          <w:p>
            <w:r>
              <w:rPr>
                <w:rFonts w:ascii="Times New Roman" w:hAnsi="Times New Roman"/>
                <w:b w:val="0"/>
                <w:sz w:val="22"/>
              </w:rPr>
              <w:t>17.43%</w:t>
            </w:r>
          </w:p>
        </w:tc>
        <w:tc>
          <w:tcPr>
            <w:tcW w:type="dxa" w:w="1520"/>
          </w:tcPr>
          <w:p>
            <w:r>
              <w:rPr>
                <w:rFonts w:ascii="Times New Roman" w:hAnsi="Times New Roman"/>
                <w:b w:val="0"/>
                <w:sz w:val="22"/>
              </w:rPr>
              <w:t>0.8751</w:t>
            </w:r>
          </w:p>
        </w:tc>
      </w:tr>
      <w:tr>
        <w:tc>
          <w:tcPr>
            <w:tcW w:type="dxa" w:w="1520"/>
          </w:tcPr>
          <w:p>
            <w:r>
              <w:rPr>
                <w:rFonts w:ascii="Times New Roman" w:hAnsi="Times New Roman"/>
                <w:b w:val="0"/>
                <w:sz w:val="22"/>
              </w:rPr>
              <w:t>1 hora</w:t>
            </w:r>
          </w:p>
        </w:tc>
        <w:tc>
          <w:tcPr>
            <w:tcW w:type="dxa" w:w="1520"/>
          </w:tcPr>
          <w:p>
            <w:r>
              <w:rPr>
                <w:rFonts w:ascii="Times New Roman" w:hAnsi="Times New Roman"/>
                <w:b w:val="0"/>
                <w:sz w:val="22"/>
              </w:rPr>
              <w:t>XGBoost</w:t>
            </w:r>
          </w:p>
        </w:tc>
        <w:tc>
          <w:tcPr>
            <w:tcW w:type="dxa" w:w="1520"/>
          </w:tcPr>
          <w:p>
            <w:r>
              <w:rPr>
                <w:rFonts w:ascii="Times New Roman" w:hAnsi="Times New Roman"/>
                <w:b w:val="0"/>
                <w:sz w:val="22"/>
              </w:rPr>
              <w:t>0.2146</w:t>
            </w:r>
          </w:p>
        </w:tc>
        <w:tc>
          <w:tcPr>
            <w:tcW w:type="dxa" w:w="1520"/>
          </w:tcPr>
          <w:p>
            <w:r>
              <w:rPr>
                <w:rFonts w:ascii="Times New Roman" w:hAnsi="Times New Roman"/>
                <w:b w:val="0"/>
                <w:sz w:val="22"/>
              </w:rPr>
              <w:t>0.1385</w:t>
            </w:r>
          </w:p>
        </w:tc>
        <w:tc>
          <w:tcPr>
            <w:tcW w:type="dxa" w:w="1520"/>
          </w:tcPr>
          <w:p>
            <w:r>
              <w:rPr>
                <w:rFonts w:ascii="Times New Roman" w:hAnsi="Times New Roman"/>
                <w:b w:val="0"/>
                <w:sz w:val="22"/>
              </w:rPr>
              <w:t>16.98%</w:t>
            </w:r>
          </w:p>
        </w:tc>
        <w:tc>
          <w:tcPr>
            <w:tcW w:type="dxa" w:w="1520"/>
          </w:tcPr>
          <w:p>
            <w:r>
              <w:rPr>
                <w:rFonts w:ascii="Times New Roman" w:hAnsi="Times New Roman"/>
                <w:b w:val="0"/>
                <w:sz w:val="22"/>
              </w:rPr>
              <w:t>0.8812</w:t>
            </w:r>
          </w:p>
        </w:tc>
      </w:tr>
      <w:tr>
        <w:tc>
          <w:tcPr>
            <w:tcW w:type="dxa" w:w="1520"/>
          </w:tcPr>
          <w:p>
            <w:r>
              <w:rPr>
                <w:rFonts w:ascii="Times New Roman" w:hAnsi="Times New Roman"/>
                <w:b w:val="0"/>
                <w:sz w:val="22"/>
              </w:rPr>
              <w:t>1 hora</w:t>
            </w:r>
          </w:p>
        </w:tc>
        <w:tc>
          <w:tcPr>
            <w:tcW w:type="dxa" w:w="1520"/>
          </w:tcPr>
          <w:p>
            <w:r>
              <w:rPr>
                <w:rFonts w:ascii="Times New Roman" w:hAnsi="Times New Roman"/>
                <w:b w:val="0"/>
                <w:sz w:val="22"/>
              </w:rPr>
              <w:t>SVR</w:t>
            </w:r>
          </w:p>
        </w:tc>
        <w:tc>
          <w:tcPr>
            <w:tcW w:type="dxa" w:w="1520"/>
          </w:tcPr>
          <w:p>
            <w:r>
              <w:rPr>
                <w:rFonts w:ascii="Times New Roman" w:hAnsi="Times New Roman"/>
                <w:b w:val="0"/>
                <w:sz w:val="22"/>
              </w:rPr>
              <w:t>0.2478</w:t>
            </w:r>
          </w:p>
        </w:tc>
        <w:tc>
          <w:tcPr>
            <w:tcW w:type="dxa" w:w="1520"/>
          </w:tcPr>
          <w:p>
            <w:r>
              <w:rPr>
                <w:rFonts w:ascii="Times New Roman" w:hAnsi="Times New Roman"/>
                <w:b w:val="0"/>
                <w:sz w:val="22"/>
              </w:rPr>
              <w:t>0.1644</w:t>
            </w:r>
          </w:p>
        </w:tc>
        <w:tc>
          <w:tcPr>
            <w:tcW w:type="dxa" w:w="1520"/>
          </w:tcPr>
          <w:p>
            <w:r>
              <w:rPr>
                <w:rFonts w:ascii="Times New Roman" w:hAnsi="Times New Roman"/>
                <w:b w:val="0"/>
                <w:sz w:val="22"/>
              </w:rPr>
              <w:t>20.56%</w:t>
            </w:r>
          </w:p>
        </w:tc>
        <w:tc>
          <w:tcPr>
            <w:tcW w:type="dxa" w:w="1520"/>
          </w:tcPr>
          <w:p>
            <w:r>
              <w:rPr>
                <w:rFonts w:ascii="Times New Roman" w:hAnsi="Times New Roman"/>
                <w:b w:val="0"/>
                <w:sz w:val="22"/>
              </w:rPr>
              <w:t>0.8415</w:t>
            </w:r>
          </w:p>
        </w:tc>
      </w:tr>
      <w:tr>
        <w:tc>
          <w:tcPr>
            <w:tcW w:type="dxa" w:w="1520"/>
          </w:tcPr>
          <w:p>
            <w:r>
              <w:rPr>
                <w:rFonts w:ascii="Times New Roman" w:hAnsi="Times New Roman"/>
                <w:b w:val="0"/>
                <w:sz w:val="22"/>
              </w:rPr>
              <w:t>1 día</w:t>
            </w:r>
          </w:p>
        </w:tc>
        <w:tc>
          <w:tcPr>
            <w:tcW w:type="dxa" w:w="1520"/>
          </w:tcPr>
          <w:p>
            <w:r>
              <w:rPr>
                <w:rFonts w:ascii="Times New Roman" w:hAnsi="Times New Roman"/>
                <w:b w:val="0"/>
                <w:sz w:val="22"/>
              </w:rPr>
              <w:t>Random Forest</w:t>
            </w:r>
          </w:p>
        </w:tc>
        <w:tc>
          <w:tcPr>
            <w:tcW w:type="dxa" w:w="1520"/>
          </w:tcPr>
          <w:p>
            <w:r>
              <w:rPr>
                <w:rFonts w:ascii="Times New Roman" w:hAnsi="Times New Roman"/>
                <w:b w:val="0"/>
                <w:sz w:val="22"/>
              </w:rPr>
              <w:t>0.1253</w:t>
            </w:r>
          </w:p>
        </w:tc>
        <w:tc>
          <w:tcPr>
            <w:tcW w:type="dxa" w:w="1520"/>
          </w:tcPr>
          <w:p>
            <w:r>
              <w:rPr>
                <w:rFonts w:ascii="Times New Roman" w:hAnsi="Times New Roman"/>
                <w:b w:val="0"/>
                <w:sz w:val="22"/>
              </w:rPr>
              <w:t>0.0943</w:t>
            </w:r>
          </w:p>
        </w:tc>
        <w:tc>
          <w:tcPr>
            <w:tcW w:type="dxa" w:w="1520"/>
          </w:tcPr>
          <w:p>
            <w:r>
              <w:rPr>
                <w:rFonts w:ascii="Times New Roman" w:hAnsi="Times New Roman"/>
                <w:b w:val="0"/>
                <w:sz w:val="22"/>
              </w:rPr>
              <w:t>11.48%</w:t>
            </w:r>
          </w:p>
        </w:tc>
        <w:tc>
          <w:tcPr>
            <w:tcW w:type="dxa" w:w="1520"/>
          </w:tcPr>
          <w:p>
            <w:r>
              <w:rPr>
                <w:rFonts w:ascii="Times New Roman" w:hAnsi="Times New Roman"/>
                <w:b w:val="0"/>
                <w:sz w:val="22"/>
              </w:rPr>
              <w:t>0.7313</w:t>
            </w:r>
          </w:p>
        </w:tc>
      </w:tr>
      <w:tr>
        <w:tc>
          <w:tcPr>
            <w:tcW w:type="dxa" w:w="1520"/>
          </w:tcPr>
          <w:p>
            <w:r>
              <w:rPr>
                <w:rFonts w:ascii="Times New Roman" w:hAnsi="Times New Roman"/>
                <w:b w:val="0"/>
                <w:sz w:val="22"/>
              </w:rPr>
              <w:t>1 día</w:t>
            </w:r>
          </w:p>
        </w:tc>
        <w:tc>
          <w:tcPr>
            <w:tcW w:type="dxa" w:w="1520"/>
          </w:tcPr>
          <w:p>
            <w:r>
              <w:rPr>
                <w:rFonts w:ascii="Times New Roman" w:hAnsi="Times New Roman"/>
                <w:b w:val="0"/>
                <w:sz w:val="22"/>
              </w:rPr>
              <w:t>XGBoost</w:t>
            </w:r>
          </w:p>
        </w:tc>
        <w:tc>
          <w:tcPr>
            <w:tcW w:type="dxa" w:w="1520"/>
          </w:tcPr>
          <w:p>
            <w:r>
              <w:rPr>
                <w:rFonts w:ascii="Times New Roman" w:hAnsi="Times New Roman"/>
                <w:b w:val="0"/>
                <w:sz w:val="22"/>
              </w:rPr>
              <w:t>0.1140</w:t>
            </w:r>
          </w:p>
        </w:tc>
        <w:tc>
          <w:tcPr>
            <w:tcW w:type="dxa" w:w="1520"/>
          </w:tcPr>
          <w:p>
            <w:r>
              <w:rPr>
                <w:rFonts w:ascii="Times New Roman" w:hAnsi="Times New Roman"/>
                <w:b w:val="0"/>
                <w:sz w:val="22"/>
              </w:rPr>
              <w:t>0.0818</w:t>
            </w:r>
          </w:p>
        </w:tc>
        <w:tc>
          <w:tcPr>
            <w:tcW w:type="dxa" w:w="1520"/>
          </w:tcPr>
          <w:p>
            <w:r>
              <w:rPr>
                <w:rFonts w:ascii="Times New Roman" w:hAnsi="Times New Roman"/>
                <w:b w:val="0"/>
                <w:sz w:val="22"/>
              </w:rPr>
              <w:t>9.69%</w:t>
            </w:r>
          </w:p>
        </w:tc>
        <w:tc>
          <w:tcPr>
            <w:tcW w:type="dxa" w:w="1520"/>
          </w:tcPr>
          <w:p>
            <w:r>
              <w:rPr>
                <w:rFonts w:ascii="Times New Roman" w:hAnsi="Times New Roman"/>
                <w:b w:val="0"/>
                <w:sz w:val="22"/>
              </w:rPr>
              <w:t>0.7776</w:t>
            </w:r>
          </w:p>
        </w:tc>
      </w:tr>
      <w:tr>
        <w:tc>
          <w:tcPr>
            <w:tcW w:type="dxa" w:w="1520"/>
          </w:tcPr>
          <w:p>
            <w:r>
              <w:rPr>
                <w:rFonts w:ascii="Times New Roman" w:hAnsi="Times New Roman"/>
                <w:b w:val="0"/>
                <w:sz w:val="22"/>
              </w:rPr>
              <w:t>1 día</w:t>
            </w:r>
          </w:p>
        </w:tc>
        <w:tc>
          <w:tcPr>
            <w:tcW w:type="dxa" w:w="1520"/>
          </w:tcPr>
          <w:p>
            <w:r>
              <w:rPr>
                <w:rFonts w:ascii="Times New Roman" w:hAnsi="Times New Roman"/>
                <w:b w:val="0"/>
                <w:sz w:val="22"/>
              </w:rPr>
              <w:t>SVR</w:t>
            </w:r>
          </w:p>
        </w:tc>
        <w:tc>
          <w:tcPr>
            <w:tcW w:type="dxa" w:w="1520"/>
          </w:tcPr>
          <w:p>
            <w:r>
              <w:rPr>
                <w:rFonts w:ascii="Times New Roman" w:hAnsi="Times New Roman"/>
                <w:b w:val="0"/>
                <w:sz w:val="22"/>
              </w:rPr>
              <w:t>0.1238</w:t>
            </w:r>
          </w:p>
        </w:tc>
        <w:tc>
          <w:tcPr>
            <w:tcW w:type="dxa" w:w="1520"/>
          </w:tcPr>
          <w:p>
            <w:r>
              <w:rPr>
                <w:rFonts w:ascii="Times New Roman" w:hAnsi="Times New Roman"/>
                <w:b w:val="0"/>
                <w:sz w:val="22"/>
              </w:rPr>
              <w:t>0.0865</w:t>
            </w:r>
          </w:p>
        </w:tc>
        <w:tc>
          <w:tcPr>
            <w:tcW w:type="dxa" w:w="1520"/>
          </w:tcPr>
          <w:p>
            <w:r>
              <w:rPr>
                <w:rFonts w:ascii="Times New Roman" w:hAnsi="Times New Roman"/>
                <w:b w:val="0"/>
                <w:sz w:val="22"/>
              </w:rPr>
              <w:t>10.25%</w:t>
            </w:r>
          </w:p>
        </w:tc>
        <w:tc>
          <w:tcPr>
            <w:tcW w:type="dxa" w:w="1520"/>
          </w:tcPr>
          <w:p>
            <w:r>
              <w:rPr>
                <w:rFonts w:ascii="Times New Roman" w:hAnsi="Times New Roman"/>
                <w:b w:val="0"/>
                <w:sz w:val="22"/>
              </w:rPr>
              <w:t>0.7374</w:t>
            </w:r>
          </w:p>
        </w:tc>
      </w:tr>
    </w:tbl>
    <w:p/>
    <w:p>
      <w:pPr>
        <w:pStyle w:val="Heading2"/>
        <w:jc w:val="left"/>
      </w:pPr>
      <w:r>
        <w:rPr>
          <w:rFonts w:ascii="Times New Roman" w:hAnsi="Times New Roman"/>
          <w:b/>
          <w:color w:val="000000"/>
          <w:sz w:val="26"/>
        </w:rPr>
        <w:t>4.3 Resultados tras Ajuste de Hiperparámetros (GridSearchCV)</w:t>
      </w:r>
    </w:p>
    <w:p>
      <w:pPr>
        <w:spacing w:after="160"/>
        <w:jc w:val="both"/>
      </w:pPr>
      <w:r>
        <w:rPr>
          <w:rFonts w:ascii="Times New Roman" w:hAnsi="Times New Roman"/>
          <w:sz w:val="24"/>
        </w:rPr>
        <w:t>Se aplicó GridSearchCV con validación cruzada temporal (TimeSeriesSplit, 3 folds) para optimizar los hiperparámetros de cada modelo. La siguiente tabla muestra la comparación entre el R² base y el R² obtenido tras el ajuste:</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rFonts w:ascii="Times New Roman" w:hAnsi="Times New Roman"/>
                <w:b/>
                <w:sz w:val="22"/>
              </w:rPr>
              <w:t>Escenario</w:t>
            </w:r>
          </w:p>
        </w:tc>
        <w:tc>
          <w:tcPr>
            <w:tcW w:type="dxa" w:w="1824"/>
          </w:tcPr>
          <w:p>
            <w:r>
              <w:rPr>
                <w:rFonts w:ascii="Times New Roman" w:hAnsi="Times New Roman"/>
                <w:b/>
                <w:sz w:val="22"/>
              </w:rPr>
              <w:t>Modelo</w:t>
            </w:r>
          </w:p>
        </w:tc>
        <w:tc>
          <w:tcPr>
            <w:tcW w:type="dxa" w:w="1824"/>
          </w:tcPr>
          <w:p>
            <w:r>
              <w:rPr>
                <w:rFonts w:ascii="Times New Roman" w:hAnsi="Times New Roman"/>
                <w:b/>
                <w:sz w:val="22"/>
              </w:rPr>
              <w:t>R² Base</w:t>
            </w:r>
          </w:p>
        </w:tc>
        <w:tc>
          <w:tcPr>
            <w:tcW w:type="dxa" w:w="1824"/>
          </w:tcPr>
          <w:p>
            <w:r>
              <w:rPr>
                <w:rFonts w:ascii="Times New Roman" w:hAnsi="Times New Roman"/>
                <w:b/>
                <w:sz w:val="22"/>
              </w:rPr>
              <w:t>R² Tuned</w:t>
            </w:r>
          </w:p>
        </w:tc>
        <w:tc>
          <w:tcPr>
            <w:tcW w:type="dxa" w:w="1824"/>
          </w:tcPr>
          <w:p>
            <w:r>
              <w:rPr>
                <w:rFonts w:ascii="Times New Roman" w:hAnsi="Times New Roman"/>
                <w:b/>
                <w:sz w:val="22"/>
              </w:rPr>
              <w:t>ΔR²</w:t>
            </w:r>
          </w:p>
        </w:tc>
      </w:tr>
      <w:tr>
        <w:tc>
          <w:tcPr>
            <w:tcW w:type="dxa" w:w="1824"/>
          </w:tcPr>
          <w:p>
            <w:r>
              <w:rPr>
                <w:rFonts w:ascii="Times New Roman" w:hAnsi="Times New Roman"/>
                <w:b w:val="0"/>
                <w:sz w:val="22"/>
              </w:rPr>
              <w:t>15 minutos</w:t>
            </w:r>
          </w:p>
        </w:tc>
        <w:tc>
          <w:tcPr>
            <w:tcW w:type="dxa" w:w="1824"/>
          </w:tcPr>
          <w:p>
            <w:r>
              <w:rPr>
                <w:rFonts w:ascii="Times New Roman" w:hAnsi="Times New Roman"/>
                <w:b w:val="0"/>
                <w:sz w:val="22"/>
              </w:rPr>
              <w:t>Random Forest</w:t>
            </w:r>
          </w:p>
        </w:tc>
        <w:tc>
          <w:tcPr>
            <w:tcW w:type="dxa" w:w="1824"/>
          </w:tcPr>
          <w:p>
            <w:r>
              <w:rPr>
                <w:rFonts w:ascii="Times New Roman" w:hAnsi="Times New Roman"/>
                <w:b w:val="0"/>
                <w:sz w:val="22"/>
              </w:rPr>
              <w:t>0.9144</w:t>
            </w:r>
          </w:p>
        </w:tc>
        <w:tc>
          <w:tcPr>
            <w:tcW w:type="dxa" w:w="1824"/>
          </w:tcPr>
          <w:p>
            <w:r>
              <w:rPr>
                <w:rFonts w:ascii="Times New Roman" w:hAnsi="Times New Roman"/>
                <w:b w:val="0"/>
                <w:sz w:val="22"/>
              </w:rPr>
              <w:t>0.9145</w:t>
            </w:r>
          </w:p>
        </w:tc>
        <w:tc>
          <w:tcPr>
            <w:tcW w:type="dxa" w:w="1824"/>
          </w:tcPr>
          <w:p>
            <w:r>
              <w:rPr>
                <w:rFonts w:ascii="Times New Roman" w:hAnsi="Times New Roman"/>
                <w:b w:val="0"/>
                <w:sz w:val="22"/>
              </w:rPr>
              <w:t>+0.0001</w:t>
            </w:r>
          </w:p>
        </w:tc>
      </w:tr>
      <w:tr>
        <w:tc>
          <w:tcPr>
            <w:tcW w:type="dxa" w:w="1824"/>
          </w:tcPr>
          <w:p>
            <w:r>
              <w:rPr>
                <w:rFonts w:ascii="Times New Roman" w:hAnsi="Times New Roman"/>
                <w:b w:val="0"/>
                <w:sz w:val="22"/>
              </w:rPr>
              <w:t>15 minutos</w:t>
            </w:r>
          </w:p>
        </w:tc>
        <w:tc>
          <w:tcPr>
            <w:tcW w:type="dxa" w:w="1824"/>
          </w:tcPr>
          <w:p>
            <w:r>
              <w:rPr>
                <w:rFonts w:ascii="Times New Roman" w:hAnsi="Times New Roman"/>
                <w:b w:val="0"/>
                <w:sz w:val="22"/>
              </w:rPr>
              <w:t>XGBoost</w:t>
            </w:r>
          </w:p>
        </w:tc>
        <w:tc>
          <w:tcPr>
            <w:tcW w:type="dxa" w:w="1824"/>
          </w:tcPr>
          <w:p>
            <w:r>
              <w:rPr>
                <w:rFonts w:ascii="Times New Roman" w:hAnsi="Times New Roman"/>
                <w:b w:val="0"/>
                <w:sz w:val="22"/>
              </w:rPr>
              <w:t>0.9198</w:t>
            </w:r>
          </w:p>
        </w:tc>
        <w:tc>
          <w:tcPr>
            <w:tcW w:type="dxa" w:w="1824"/>
          </w:tcPr>
          <w:p>
            <w:r>
              <w:rPr>
                <w:rFonts w:ascii="Times New Roman" w:hAnsi="Times New Roman"/>
                <w:b w:val="0"/>
                <w:sz w:val="22"/>
              </w:rPr>
              <w:t>0.9131</w:t>
            </w:r>
          </w:p>
        </w:tc>
        <w:tc>
          <w:tcPr>
            <w:tcW w:type="dxa" w:w="1824"/>
          </w:tcPr>
          <w:p>
            <w:r>
              <w:rPr>
                <w:rFonts w:ascii="Times New Roman" w:hAnsi="Times New Roman"/>
                <w:b w:val="0"/>
                <w:sz w:val="22"/>
              </w:rPr>
              <w:t>-0.0067</w:t>
            </w:r>
          </w:p>
        </w:tc>
      </w:tr>
      <w:tr>
        <w:tc>
          <w:tcPr>
            <w:tcW w:type="dxa" w:w="1824"/>
          </w:tcPr>
          <w:p>
            <w:r>
              <w:rPr>
                <w:rFonts w:ascii="Times New Roman" w:hAnsi="Times New Roman"/>
                <w:b w:val="0"/>
                <w:sz w:val="22"/>
              </w:rPr>
              <w:t>15 minutos</w:t>
            </w:r>
          </w:p>
        </w:tc>
        <w:tc>
          <w:tcPr>
            <w:tcW w:type="dxa" w:w="1824"/>
          </w:tcPr>
          <w:p>
            <w:r>
              <w:rPr>
                <w:rFonts w:ascii="Times New Roman" w:hAnsi="Times New Roman"/>
                <w:b w:val="0"/>
                <w:sz w:val="22"/>
              </w:rPr>
              <w:t>SVR</w:t>
            </w:r>
          </w:p>
        </w:tc>
        <w:tc>
          <w:tcPr>
            <w:tcW w:type="dxa" w:w="1824"/>
          </w:tcPr>
          <w:p>
            <w:r>
              <w:rPr>
                <w:rFonts w:ascii="Times New Roman" w:hAnsi="Times New Roman"/>
                <w:b w:val="0"/>
                <w:sz w:val="22"/>
              </w:rPr>
              <w:t>0.8589</w:t>
            </w:r>
          </w:p>
        </w:tc>
        <w:tc>
          <w:tcPr>
            <w:tcW w:type="dxa" w:w="1824"/>
          </w:tcPr>
          <w:p>
            <w:r>
              <w:rPr>
                <w:rFonts w:ascii="Times New Roman" w:hAnsi="Times New Roman"/>
                <w:b w:val="0"/>
                <w:sz w:val="22"/>
              </w:rPr>
              <w:t>0.8801</w:t>
            </w:r>
          </w:p>
        </w:tc>
        <w:tc>
          <w:tcPr>
            <w:tcW w:type="dxa" w:w="1824"/>
          </w:tcPr>
          <w:p>
            <w:r>
              <w:rPr>
                <w:rFonts w:ascii="Times New Roman" w:hAnsi="Times New Roman"/>
                <w:b w:val="0"/>
                <w:sz w:val="22"/>
              </w:rPr>
              <w:t>+0.0212</w:t>
            </w:r>
          </w:p>
        </w:tc>
      </w:tr>
      <w:tr>
        <w:tc>
          <w:tcPr>
            <w:tcW w:type="dxa" w:w="1824"/>
          </w:tcPr>
          <w:p>
            <w:r>
              <w:rPr>
                <w:rFonts w:ascii="Times New Roman" w:hAnsi="Times New Roman"/>
                <w:b w:val="0"/>
                <w:sz w:val="22"/>
              </w:rPr>
              <w:t>1 hora</w:t>
            </w:r>
          </w:p>
        </w:tc>
        <w:tc>
          <w:tcPr>
            <w:tcW w:type="dxa" w:w="1824"/>
          </w:tcPr>
          <w:p>
            <w:r>
              <w:rPr>
                <w:rFonts w:ascii="Times New Roman" w:hAnsi="Times New Roman"/>
                <w:b w:val="0"/>
                <w:sz w:val="22"/>
              </w:rPr>
              <w:t>Random Forest</w:t>
            </w:r>
          </w:p>
        </w:tc>
        <w:tc>
          <w:tcPr>
            <w:tcW w:type="dxa" w:w="1824"/>
          </w:tcPr>
          <w:p>
            <w:r>
              <w:rPr>
                <w:rFonts w:ascii="Times New Roman" w:hAnsi="Times New Roman"/>
                <w:b w:val="0"/>
                <w:sz w:val="22"/>
              </w:rPr>
              <w:t>0.8751</w:t>
            </w:r>
          </w:p>
        </w:tc>
        <w:tc>
          <w:tcPr>
            <w:tcW w:type="dxa" w:w="1824"/>
          </w:tcPr>
          <w:p>
            <w:r>
              <w:rPr>
                <w:rFonts w:ascii="Times New Roman" w:hAnsi="Times New Roman"/>
                <w:b w:val="0"/>
                <w:sz w:val="22"/>
              </w:rPr>
              <w:t>0.8754</w:t>
            </w:r>
          </w:p>
        </w:tc>
        <w:tc>
          <w:tcPr>
            <w:tcW w:type="dxa" w:w="1824"/>
          </w:tcPr>
          <w:p>
            <w:r>
              <w:rPr>
                <w:rFonts w:ascii="Times New Roman" w:hAnsi="Times New Roman"/>
                <w:b w:val="0"/>
                <w:sz w:val="22"/>
              </w:rPr>
              <w:t>+0.0003</w:t>
            </w:r>
          </w:p>
        </w:tc>
      </w:tr>
      <w:tr>
        <w:tc>
          <w:tcPr>
            <w:tcW w:type="dxa" w:w="1824"/>
          </w:tcPr>
          <w:p>
            <w:r>
              <w:rPr>
                <w:rFonts w:ascii="Times New Roman" w:hAnsi="Times New Roman"/>
                <w:b w:val="0"/>
                <w:sz w:val="22"/>
              </w:rPr>
              <w:t>1 hora</w:t>
            </w:r>
          </w:p>
        </w:tc>
        <w:tc>
          <w:tcPr>
            <w:tcW w:type="dxa" w:w="1824"/>
          </w:tcPr>
          <w:p>
            <w:r>
              <w:rPr>
                <w:rFonts w:ascii="Times New Roman" w:hAnsi="Times New Roman"/>
                <w:b w:val="0"/>
                <w:sz w:val="22"/>
              </w:rPr>
              <w:t>XGBoost</w:t>
            </w:r>
          </w:p>
        </w:tc>
        <w:tc>
          <w:tcPr>
            <w:tcW w:type="dxa" w:w="1824"/>
          </w:tcPr>
          <w:p>
            <w:r>
              <w:rPr>
                <w:rFonts w:ascii="Times New Roman" w:hAnsi="Times New Roman"/>
                <w:b w:val="0"/>
                <w:sz w:val="22"/>
              </w:rPr>
              <w:t>0.8812</w:t>
            </w:r>
          </w:p>
        </w:tc>
        <w:tc>
          <w:tcPr>
            <w:tcW w:type="dxa" w:w="1824"/>
          </w:tcPr>
          <w:p>
            <w:r>
              <w:rPr>
                <w:rFonts w:ascii="Times New Roman" w:hAnsi="Times New Roman"/>
                <w:b w:val="0"/>
                <w:sz w:val="22"/>
              </w:rPr>
              <w:t>0.8812</w:t>
            </w:r>
          </w:p>
        </w:tc>
        <w:tc>
          <w:tcPr>
            <w:tcW w:type="dxa" w:w="1824"/>
          </w:tcPr>
          <w:p>
            <w:r>
              <w:rPr>
                <w:rFonts w:ascii="Times New Roman" w:hAnsi="Times New Roman"/>
                <w:b w:val="0"/>
                <w:sz w:val="22"/>
              </w:rPr>
              <w:t>+0.0000</w:t>
            </w:r>
          </w:p>
        </w:tc>
      </w:tr>
      <w:tr>
        <w:tc>
          <w:tcPr>
            <w:tcW w:type="dxa" w:w="1824"/>
          </w:tcPr>
          <w:p>
            <w:r>
              <w:rPr>
                <w:rFonts w:ascii="Times New Roman" w:hAnsi="Times New Roman"/>
                <w:b w:val="0"/>
                <w:sz w:val="22"/>
              </w:rPr>
              <w:t>1 hora</w:t>
            </w:r>
          </w:p>
        </w:tc>
        <w:tc>
          <w:tcPr>
            <w:tcW w:type="dxa" w:w="1824"/>
          </w:tcPr>
          <w:p>
            <w:r>
              <w:rPr>
                <w:rFonts w:ascii="Times New Roman" w:hAnsi="Times New Roman"/>
                <w:b w:val="0"/>
                <w:sz w:val="22"/>
              </w:rPr>
              <w:t>SVR</w:t>
            </w:r>
          </w:p>
        </w:tc>
        <w:tc>
          <w:tcPr>
            <w:tcW w:type="dxa" w:w="1824"/>
          </w:tcPr>
          <w:p>
            <w:r>
              <w:rPr>
                <w:rFonts w:ascii="Times New Roman" w:hAnsi="Times New Roman"/>
                <w:b w:val="0"/>
                <w:sz w:val="22"/>
              </w:rPr>
              <w:t>0.8415</w:t>
            </w:r>
          </w:p>
        </w:tc>
        <w:tc>
          <w:tcPr>
            <w:tcW w:type="dxa" w:w="1824"/>
          </w:tcPr>
          <w:p>
            <w:r>
              <w:rPr>
                <w:rFonts w:ascii="Times New Roman" w:hAnsi="Times New Roman"/>
                <w:b w:val="0"/>
                <w:sz w:val="22"/>
              </w:rPr>
              <w:t>0.8580</w:t>
            </w:r>
          </w:p>
        </w:tc>
        <w:tc>
          <w:tcPr>
            <w:tcW w:type="dxa" w:w="1824"/>
          </w:tcPr>
          <w:p>
            <w:r>
              <w:rPr>
                <w:rFonts w:ascii="Times New Roman" w:hAnsi="Times New Roman"/>
                <w:b w:val="0"/>
                <w:sz w:val="22"/>
              </w:rPr>
              <w:t>+0.0165</w:t>
            </w:r>
          </w:p>
        </w:tc>
      </w:tr>
      <w:tr>
        <w:tc>
          <w:tcPr>
            <w:tcW w:type="dxa" w:w="1824"/>
          </w:tcPr>
          <w:p>
            <w:r>
              <w:rPr>
                <w:rFonts w:ascii="Times New Roman" w:hAnsi="Times New Roman"/>
                <w:b w:val="0"/>
                <w:sz w:val="22"/>
              </w:rPr>
              <w:t>1 día</w:t>
            </w:r>
          </w:p>
        </w:tc>
        <w:tc>
          <w:tcPr>
            <w:tcW w:type="dxa" w:w="1824"/>
          </w:tcPr>
          <w:p>
            <w:r>
              <w:rPr>
                <w:rFonts w:ascii="Times New Roman" w:hAnsi="Times New Roman"/>
                <w:b w:val="0"/>
                <w:sz w:val="22"/>
              </w:rPr>
              <w:t>Random Forest</w:t>
            </w:r>
          </w:p>
        </w:tc>
        <w:tc>
          <w:tcPr>
            <w:tcW w:type="dxa" w:w="1824"/>
          </w:tcPr>
          <w:p>
            <w:r>
              <w:rPr>
                <w:rFonts w:ascii="Times New Roman" w:hAnsi="Times New Roman"/>
                <w:b w:val="0"/>
                <w:sz w:val="22"/>
              </w:rPr>
              <w:t>0.7313</w:t>
            </w:r>
          </w:p>
        </w:tc>
        <w:tc>
          <w:tcPr>
            <w:tcW w:type="dxa" w:w="1824"/>
          </w:tcPr>
          <w:p>
            <w:r>
              <w:rPr>
                <w:rFonts w:ascii="Times New Roman" w:hAnsi="Times New Roman"/>
                <w:b w:val="0"/>
                <w:sz w:val="22"/>
              </w:rPr>
              <w:t>0.7276</w:t>
            </w:r>
          </w:p>
        </w:tc>
        <w:tc>
          <w:tcPr>
            <w:tcW w:type="dxa" w:w="1824"/>
          </w:tcPr>
          <w:p>
            <w:r>
              <w:rPr>
                <w:rFonts w:ascii="Times New Roman" w:hAnsi="Times New Roman"/>
                <w:b w:val="0"/>
                <w:sz w:val="22"/>
              </w:rPr>
              <w:t>-0.0037</w:t>
            </w:r>
          </w:p>
        </w:tc>
      </w:tr>
      <w:tr>
        <w:tc>
          <w:tcPr>
            <w:tcW w:type="dxa" w:w="1824"/>
          </w:tcPr>
          <w:p>
            <w:r>
              <w:rPr>
                <w:rFonts w:ascii="Times New Roman" w:hAnsi="Times New Roman"/>
                <w:b w:val="0"/>
                <w:sz w:val="22"/>
              </w:rPr>
              <w:t>1 día</w:t>
            </w:r>
          </w:p>
        </w:tc>
        <w:tc>
          <w:tcPr>
            <w:tcW w:type="dxa" w:w="1824"/>
          </w:tcPr>
          <w:p>
            <w:r>
              <w:rPr>
                <w:rFonts w:ascii="Times New Roman" w:hAnsi="Times New Roman"/>
                <w:b w:val="0"/>
                <w:sz w:val="22"/>
              </w:rPr>
              <w:t>XGBoost</w:t>
            </w:r>
          </w:p>
        </w:tc>
        <w:tc>
          <w:tcPr>
            <w:tcW w:type="dxa" w:w="1824"/>
          </w:tcPr>
          <w:p>
            <w:r>
              <w:rPr>
                <w:rFonts w:ascii="Times New Roman" w:hAnsi="Times New Roman"/>
                <w:b w:val="0"/>
                <w:sz w:val="22"/>
              </w:rPr>
              <w:t>0.7776</w:t>
            </w:r>
          </w:p>
        </w:tc>
        <w:tc>
          <w:tcPr>
            <w:tcW w:type="dxa" w:w="1824"/>
          </w:tcPr>
          <w:p>
            <w:r>
              <w:rPr>
                <w:rFonts w:ascii="Times New Roman" w:hAnsi="Times New Roman"/>
                <w:b w:val="0"/>
                <w:sz w:val="22"/>
              </w:rPr>
              <w:t>0.7748</w:t>
            </w:r>
          </w:p>
        </w:tc>
        <w:tc>
          <w:tcPr>
            <w:tcW w:type="dxa" w:w="1824"/>
          </w:tcPr>
          <w:p>
            <w:r>
              <w:rPr>
                <w:rFonts w:ascii="Times New Roman" w:hAnsi="Times New Roman"/>
                <w:b w:val="0"/>
                <w:sz w:val="22"/>
              </w:rPr>
              <w:t>-0.0028</w:t>
            </w:r>
          </w:p>
        </w:tc>
      </w:tr>
      <w:tr>
        <w:tc>
          <w:tcPr>
            <w:tcW w:type="dxa" w:w="1824"/>
          </w:tcPr>
          <w:p>
            <w:r>
              <w:rPr>
                <w:rFonts w:ascii="Times New Roman" w:hAnsi="Times New Roman"/>
                <w:b w:val="0"/>
                <w:sz w:val="22"/>
              </w:rPr>
              <w:t>1 día</w:t>
            </w:r>
          </w:p>
        </w:tc>
        <w:tc>
          <w:tcPr>
            <w:tcW w:type="dxa" w:w="1824"/>
          </w:tcPr>
          <w:p>
            <w:r>
              <w:rPr>
                <w:rFonts w:ascii="Times New Roman" w:hAnsi="Times New Roman"/>
                <w:b w:val="0"/>
                <w:sz w:val="22"/>
              </w:rPr>
              <w:t>SVR</w:t>
            </w:r>
          </w:p>
        </w:tc>
        <w:tc>
          <w:tcPr>
            <w:tcW w:type="dxa" w:w="1824"/>
          </w:tcPr>
          <w:p>
            <w:r>
              <w:rPr>
                <w:rFonts w:ascii="Times New Roman" w:hAnsi="Times New Roman"/>
                <w:b w:val="0"/>
                <w:sz w:val="22"/>
              </w:rPr>
              <w:t>0.7374</w:t>
            </w:r>
          </w:p>
        </w:tc>
        <w:tc>
          <w:tcPr>
            <w:tcW w:type="dxa" w:w="1824"/>
          </w:tcPr>
          <w:p>
            <w:r>
              <w:rPr>
                <w:rFonts w:ascii="Times New Roman" w:hAnsi="Times New Roman"/>
                <w:b w:val="0"/>
                <w:sz w:val="22"/>
              </w:rPr>
              <w:t>0.7848</w:t>
            </w:r>
          </w:p>
        </w:tc>
        <w:tc>
          <w:tcPr>
            <w:tcW w:type="dxa" w:w="1824"/>
          </w:tcPr>
          <w:p>
            <w:r>
              <w:rPr>
                <w:rFonts w:ascii="Times New Roman" w:hAnsi="Times New Roman"/>
                <w:b w:val="0"/>
                <w:sz w:val="22"/>
              </w:rPr>
              <w:t>+0.0474</w:t>
            </w:r>
          </w:p>
        </w:tc>
      </w:tr>
    </w:tbl>
    <w:p/>
    <w:p>
      <w:pPr>
        <w:pStyle w:val="Heading2"/>
        <w:jc w:val="left"/>
      </w:pPr>
      <w:r>
        <w:rPr>
          <w:rFonts w:ascii="Times New Roman" w:hAnsi="Times New Roman"/>
          <w:b/>
          <w:color w:val="000000"/>
          <w:sz w:val="26"/>
        </w:rPr>
        <w:t>4.4 Conclusiones por Escenario</w:t>
      </w:r>
    </w:p>
    <w:p>
      <w:pPr>
        <w:pStyle w:val="Heading3"/>
        <w:jc w:val="left"/>
      </w:pPr>
      <w:r>
        <w:rPr>
          <w:rFonts w:ascii="Times New Roman" w:hAnsi="Times New Roman"/>
          <w:b/>
          <w:color w:val="000000"/>
          <w:sz w:val="24"/>
        </w:rPr>
        <w:t>Escenario 1 — 15 Minutos</w:t>
      </w:r>
    </w:p>
    <w:p>
      <w:pPr>
        <w:spacing w:after="160"/>
        <w:jc w:val="both"/>
      </w:pPr>
      <w:r>
        <w:rPr>
          <w:rFonts w:ascii="Times New Roman" w:hAnsi="Times New Roman"/>
          <w:sz w:val="24"/>
        </w:rPr>
        <w:t>XGBoost y Random Forest obtienen los mejores resultados con R² superior a 0.91, lo que indica que los modelos explican más del 91% de la variabilidad del consumo. SVR mejora notablemente tras el ajuste de hiperparámetros (+0.0212 en R²). El mejor modelo tuned es Random Forest con R²=0.9145.</w:t>
      </w:r>
    </w:p>
    <w:p>
      <w:pPr>
        <w:pStyle w:val="Heading3"/>
        <w:jc w:val="left"/>
      </w:pPr>
      <w:r>
        <w:rPr>
          <w:rFonts w:ascii="Times New Roman" w:hAnsi="Times New Roman"/>
          <w:b/>
          <w:color w:val="000000"/>
          <w:sz w:val="24"/>
        </w:rPr>
        <w:t>Escenario 2 — 1 Hora</w:t>
      </w:r>
    </w:p>
    <w:p>
      <w:pPr>
        <w:spacing w:after="160"/>
        <w:jc w:val="both"/>
      </w:pPr>
      <w:r>
        <w:rPr>
          <w:rFonts w:ascii="Times New Roman" w:hAnsi="Times New Roman"/>
          <w:sz w:val="24"/>
        </w:rPr>
        <w:t>XGBoost lidera con R²=0.8812, prácticamente sin cambio tras el tuning, lo que indica que su configuración base ya era óptima. SVR mejora con el ajuste (+0.0165). El mejor modelo tuned es XGBoost con R²=0.8812.</w:t>
      </w:r>
    </w:p>
    <w:p>
      <w:pPr>
        <w:pStyle w:val="Heading3"/>
        <w:jc w:val="left"/>
      </w:pPr>
      <w:r>
        <w:rPr>
          <w:rFonts w:ascii="Times New Roman" w:hAnsi="Times New Roman"/>
          <w:b/>
          <w:color w:val="000000"/>
          <w:sz w:val="24"/>
        </w:rPr>
        <w:t>Escenario 3 — 1 Día</w:t>
      </w:r>
    </w:p>
    <w:p>
      <w:pPr>
        <w:spacing w:after="160"/>
        <w:jc w:val="both"/>
      </w:pPr>
      <w:r>
        <w:rPr>
          <w:rFonts w:ascii="Times New Roman" w:hAnsi="Times New Roman"/>
          <w:sz w:val="24"/>
        </w:rPr>
        <w:t>SVR es el modelo más beneficiado por el ajuste de hiperparámetros en este escenario (+0.0474 en R²), convirtiéndose en el mejor modelo tuned con R²=0.7848. Random Forest y XGBoost disminuyen levemente tras el tuning, lo que sugiere que ya habían alcanzado su límite con la configuración base.</w:t>
      </w:r>
    </w:p>
    <w:p>
      <w:pPr>
        <w:pStyle w:val="Heading2"/>
        <w:jc w:val="left"/>
      </w:pPr>
      <w:r>
        <w:rPr>
          <w:rFonts w:ascii="Times New Roman" w:hAnsi="Times New Roman"/>
          <w:b/>
          <w:color w:val="000000"/>
          <w:sz w:val="26"/>
        </w:rPr>
        <w:t>Conclusión General</w:t>
      </w:r>
    </w:p>
    <w:p>
      <w:pPr>
        <w:spacing w:after="160"/>
        <w:jc w:val="both"/>
      </w:pPr>
      <w:r>
        <w:rPr>
          <w:rFonts w:ascii="Times New Roman" w:hAnsi="Times New Roman"/>
          <w:sz w:val="24"/>
        </w:rPr>
        <w:t>A mayor granularidad temporal (menor horizonte de predicción), los modelos obtienen mejores resultados. El escenario de 15 minutos alcanza el mejor desempeño global (R²=0.91), dado que dispone de más datos y patrones más repetitivos. El escenario diario, si bien con menor R² (0.78), representa el horizonte de mayor utilidad práctica para la planificación energética. SVR es el modelo que más se beneficia del ajuste de hiperparámetros en todos los escenarios, mientras que Random Forest y XGBoost ya presentaban una configuración base cercana a la óptima.</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