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07" w:rsidRPr="00AA2007" w:rsidRDefault="00AA2007" w:rsidP="00AA2007">
      <w:pPr>
        <w:jc w:val="center"/>
        <w:rPr>
          <w:b/>
          <w:sz w:val="28"/>
        </w:rPr>
      </w:pPr>
      <w:r>
        <w:rPr>
          <w:b/>
          <w:sz w:val="28"/>
        </w:rPr>
        <w:t xml:space="preserve">IPv6 - </w:t>
      </w:r>
      <w:hyperlink r:id="rId4" w:history="1">
        <w:r w:rsidRPr="00AA2007">
          <w:rPr>
            <w:rStyle w:val="Collegamentoipertestuale"/>
            <w:b/>
            <w:sz w:val="28"/>
          </w:rPr>
          <w:t>https://www.memexcomputer.it/indirizzo-ipv6/</w:t>
        </w:r>
      </w:hyperlink>
    </w:p>
    <w:p w:rsidR="00AA2007" w:rsidRPr="00AA2007" w:rsidRDefault="00AA2007" w:rsidP="00AA2007">
      <w:pPr>
        <w:rPr>
          <w:sz w:val="24"/>
        </w:rPr>
      </w:pPr>
      <w:r w:rsidRPr="00AA2007">
        <w:rPr>
          <w:sz w:val="24"/>
        </w:rPr>
        <w:t xml:space="preserve">La Figura 5.68 mostra l’intestazione IPv6. Il campo </w:t>
      </w:r>
      <w:proofErr w:type="spellStart"/>
      <w:r w:rsidRPr="00AA2007">
        <w:rPr>
          <w:b/>
          <w:i/>
          <w:sz w:val="24"/>
        </w:rPr>
        <w:t>version</w:t>
      </w:r>
      <w:proofErr w:type="spellEnd"/>
      <w:r w:rsidRPr="00AA2007">
        <w:rPr>
          <w:sz w:val="24"/>
        </w:rPr>
        <w:t xml:space="preserve"> contiene sempre il valore 6 associato a IPv6 (4 è il valore associato a IPv4). Durante il periodo di transizione da IPv4, che probabilmente si protrarrà per una decina di anni, i router saranno in grado di esaminare questo campo e identificare il tipo di pacchetto in transito. </w:t>
      </w:r>
      <w:proofErr w:type="gramStart"/>
      <w:r w:rsidRPr="00AA2007">
        <w:rPr>
          <w:sz w:val="24"/>
        </w:rPr>
        <w:t>E</w:t>
      </w:r>
      <w:proofErr w:type="gramEnd"/>
      <w:r w:rsidRPr="00AA2007">
        <w:rPr>
          <w:sz w:val="24"/>
        </w:rPr>
        <w:t xml:space="preserve"> interessante notare che questo test fa sprecare alcune istruzioni nel percorso critico, perciò molte implementazioni probabilmente tenteranno di non eseguirlo, usando un campo nell’intestazione data link che distingue i pacchetti IPv4 dai pacchetti IPv6; in tal modo, i pacchetti possono essere passati direttamente al gestore di strato network corretto.</w:t>
      </w:r>
    </w:p>
    <w:p w:rsidR="00AA2007" w:rsidRDefault="00AA2007" w:rsidP="00AA2007">
      <w:pPr>
        <w:rPr>
          <w:sz w:val="24"/>
        </w:rPr>
      </w:pPr>
      <w:r w:rsidRPr="00AA2007">
        <w:rPr>
          <w:sz w:val="24"/>
        </w:rPr>
        <w:t xml:space="preserve">Rendere lo strato data link conscio del tipo di pacchetto di rete viola però completamente la regola essenziale che afferma che ogni strato non dovrebbe essere a conoscenza del significato dei bit ricevuti dallo strato sovrastante. I dibattiti tra i sostenitori del “Fallo bene” e del “Fallo velocemente” saranno senza dubbio lunghi e vigorosi. Il campo </w:t>
      </w:r>
      <w:proofErr w:type="spellStart"/>
      <w:r w:rsidRPr="00AA2007">
        <w:rPr>
          <w:b/>
          <w:i/>
          <w:sz w:val="24"/>
        </w:rPr>
        <w:t>tra</w:t>
      </w:r>
      <w:r>
        <w:rPr>
          <w:b/>
          <w:i/>
          <w:sz w:val="24"/>
        </w:rPr>
        <w:t>f</w:t>
      </w:r>
      <w:r w:rsidRPr="00AA2007">
        <w:rPr>
          <w:b/>
          <w:i/>
          <w:sz w:val="24"/>
        </w:rPr>
        <w:t>fi</w:t>
      </w:r>
      <w:r>
        <w:rPr>
          <w:b/>
          <w:i/>
          <w:sz w:val="24"/>
        </w:rPr>
        <w:t>c</w:t>
      </w:r>
      <w:proofErr w:type="spellEnd"/>
      <w:r w:rsidRPr="00AA2007">
        <w:rPr>
          <w:b/>
          <w:i/>
          <w:sz w:val="24"/>
        </w:rPr>
        <w:t xml:space="preserve"> class</w:t>
      </w:r>
      <w:r w:rsidRPr="00AA2007">
        <w:rPr>
          <w:sz w:val="24"/>
        </w:rPr>
        <w:t xml:space="preserve"> (classe del traffico) è utilizzato per distinguere i pacchetti con diversi requisiti di distribuzione in tempo reale. Un campo progettato per questo scopo esiste in IP fin dall’inizio, ma è stato implementato solo sporadicamente dai router. Sono in corso esperimenti per determinare il miglior utilizzo per la distribuzione dei dati multimediali.</w:t>
      </w:r>
    </w:p>
    <w:p w:rsidR="00AA2007" w:rsidRPr="00AA2007" w:rsidRDefault="00AA2007" w:rsidP="00AA2007">
      <w:pPr>
        <w:rPr>
          <w:sz w:val="24"/>
        </w:rPr>
      </w:pPr>
      <w:r w:rsidRPr="00AA2007">
        <w:rPr>
          <w:sz w:val="24"/>
        </w:rPr>
        <w:t xml:space="preserve">Anche il campo </w:t>
      </w:r>
      <w:r w:rsidRPr="00AA2007">
        <w:rPr>
          <w:b/>
          <w:i/>
          <w:sz w:val="24"/>
        </w:rPr>
        <w:t>flow label</w:t>
      </w:r>
      <w:r w:rsidRPr="00AA2007">
        <w:rPr>
          <w:sz w:val="24"/>
        </w:rPr>
        <w:t xml:space="preserve"> (etichetta di flusso) è ancora sperimentale, ma sarà utilizzato per consentire a una sorgente e a una destinazione di impostare una </w:t>
      </w:r>
      <w:proofErr w:type="spellStart"/>
      <w:r w:rsidRPr="00AA2007">
        <w:rPr>
          <w:sz w:val="24"/>
        </w:rPr>
        <w:t>pseudoconnessione</w:t>
      </w:r>
      <w:proofErr w:type="spellEnd"/>
      <w:r w:rsidRPr="00AA2007">
        <w:rPr>
          <w:sz w:val="24"/>
        </w:rPr>
        <w:t xml:space="preserve"> con particolari proprietà e requisiti. Per esempio, un flusso di pacchetti generato da un processo su un particolare </w:t>
      </w:r>
      <w:proofErr w:type="spellStart"/>
      <w:r w:rsidRPr="00AA2007">
        <w:rPr>
          <w:sz w:val="24"/>
        </w:rPr>
        <w:t>host</w:t>
      </w:r>
      <w:proofErr w:type="spellEnd"/>
      <w:r w:rsidRPr="00AA2007">
        <w:rPr>
          <w:sz w:val="24"/>
        </w:rPr>
        <w:t xml:space="preserve"> sorgente e diretto a un particolare processo su un particolare </w:t>
      </w:r>
      <w:proofErr w:type="spellStart"/>
      <w:r w:rsidRPr="00AA2007">
        <w:rPr>
          <w:sz w:val="24"/>
        </w:rPr>
        <w:t>host</w:t>
      </w:r>
      <w:proofErr w:type="spellEnd"/>
      <w:r w:rsidRPr="00AA2007">
        <w:rPr>
          <w:sz w:val="24"/>
        </w:rPr>
        <w:t xml:space="preserve"> di destinazione potrebbe avere rigorosi requisiti di ritardo e quindi aver bisogno di banda riservata. Il flusso può essere impostato in anticipo e gli si può assegnare un identificatore. Quando appare un pacchetto con flow label diversa da zero, tutti i router cercano l’etichetta nelle loro tabelle interne per scoprire il tipo di trattamento speciale richiesto dal pacchetto. In realtà, i flussi sono un tentativo di combinare la flessibilità della rete a datagrammi e le garanzie di una sottorete a circuito virtuale.</w:t>
      </w:r>
    </w:p>
    <w:p w:rsidR="00AA2007" w:rsidRPr="00AA2007" w:rsidRDefault="00AA2007" w:rsidP="00AA2007">
      <w:pPr>
        <w:rPr>
          <w:sz w:val="24"/>
        </w:rPr>
      </w:pPr>
      <w:r w:rsidRPr="00AA2007">
        <w:rPr>
          <w:sz w:val="24"/>
        </w:rPr>
        <w:t xml:space="preserve">Ogni flusso è rappresentato dall’indirizzo sorgente, dall’indirizzo di destinazione e dal numero di flusso, perciò tra una data coppia di indirizzi IP possono essere attivi molti flussi. Inoltre, in questo modo, anche se due flussi provenienti da </w:t>
      </w:r>
      <w:proofErr w:type="spellStart"/>
      <w:r w:rsidRPr="00AA2007">
        <w:rPr>
          <w:sz w:val="24"/>
        </w:rPr>
        <w:t>host</w:t>
      </w:r>
      <w:proofErr w:type="spellEnd"/>
      <w:r w:rsidRPr="00AA2007">
        <w:rPr>
          <w:sz w:val="24"/>
        </w:rPr>
        <w:t xml:space="preserve"> diversi ma con la stessa etichetta di flusso passano attraverso lo stesso router, il router sarà in grado di distinguerli usando gli indirizzi di origine e di destinazione. Poiché ci si aspetta che le etichette di flusso siano scelte a caso e non siano assegnate in modo sequenziale partendo da 1, i router devono eseguire su di esse un’operazione di hash.</w:t>
      </w:r>
    </w:p>
    <w:p w:rsidR="00AA2007" w:rsidRPr="00AA2007" w:rsidRDefault="00AA2007" w:rsidP="00AA2007">
      <w:pPr>
        <w:rPr>
          <w:sz w:val="24"/>
        </w:rPr>
      </w:pPr>
      <w:r w:rsidRPr="00AA2007">
        <w:rPr>
          <w:sz w:val="24"/>
        </w:rPr>
        <w:t xml:space="preserve">Il campo payload </w:t>
      </w:r>
      <w:proofErr w:type="spellStart"/>
      <w:r w:rsidRPr="00AA2007">
        <w:rPr>
          <w:sz w:val="24"/>
        </w:rPr>
        <w:t>lenght</w:t>
      </w:r>
      <w:proofErr w:type="spellEnd"/>
      <w:r w:rsidRPr="00AA2007">
        <w:rPr>
          <w:sz w:val="24"/>
        </w:rPr>
        <w:t xml:space="preserve"> (lunghezza del carico utile) indica il numero di byte che seguono l’intestazione di 40 byte mostrata nella Figura 5.68. È stato abbandonato il nome del campo </w:t>
      </w:r>
      <w:proofErr w:type="spellStart"/>
      <w:r w:rsidRPr="00AA2007">
        <w:rPr>
          <w:sz w:val="24"/>
        </w:rPr>
        <w:t>total</w:t>
      </w:r>
      <w:proofErr w:type="spellEnd"/>
      <w:r w:rsidRPr="00AA2007">
        <w:rPr>
          <w:sz w:val="24"/>
        </w:rPr>
        <w:t xml:space="preserve"> </w:t>
      </w:r>
      <w:proofErr w:type="spellStart"/>
      <w:r w:rsidRPr="00AA2007">
        <w:rPr>
          <w:sz w:val="24"/>
        </w:rPr>
        <w:t>lenght</w:t>
      </w:r>
      <w:proofErr w:type="spellEnd"/>
      <w:r w:rsidRPr="00AA2007">
        <w:rPr>
          <w:sz w:val="24"/>
        </w:rPr>
        <w:t xml:space="preserve"> adottato da IPv4 perché il significato è leggermente cambiato: i 40 byte di intestazione non sono più conteggiati nel calcolo della lunghezza.</w:t>
      </w:r>
    </w:p>
    <w:p w:rsidR="00AA2007" w:rsidRDefault="00AA2007" w:rsidP="00AA2007">
      <w:pPr>
        <w:rPr>
          <w:sz w:val="24"/>
        </w:rPr>
      </w:pPr>
      <w:r w:rsidRPr="00AA2007">
        <w:rPr>
          <w:sz w:val="24"/>
        </w:rPr>
        <w:t xml:space="preserve">Il campo </w:t>
      </w:r>
      <w:proofErr w:type="spellStart"/>
      <w:r w:rsidRPr="00AA2007">
        <w:rPr>
          <w:b/>
          <w:i/>
          <w:sz w:val="24"/>
        </w:rPr>
        <w:t>next</w:t>
      </w:r>
      <w:proofErr w:type="spellEnd"/>
      <w:r w:rsidRPr="00AA2007">
        <w:rPr>
          <w:b/>
          <w:i/>
          <w:sz w:val="24"/>
        </w:rPr>
        <w:t xml:space="preserve"> header</w:t>
      </w:r>
      <w:r w:rsidRPr="00AA2007">
        <w:rPr>
          <w:sz w:val="24"/>
        </w:rPr>
        <w:t xml:space="preserve"> (intestazione successiva) fa trapelare un segreto. Il motivo per cui è stato possibile semplificare l’intestazione è che ci possono essere altre intestazioni estese</w:t>
      </w:r>
      <w:r>
        <w:rPr>
          <w:sz w:val="24"/>
        </w:rPr>
        <w:t xml:space="preserve"> </w:t>
      </w:r>
    </w:p>
    <w:p w:rsidR="00AA2007" w:rsidRPr="00AA2007" w:rsidRDefault="00AA2007" w:rsidP="00AA2007">
      <w:pPr>
        <w:rPr>
          <w:sz w:val="24"/>
        </w:rPr>
      </w:pPr>
      <w:r w:rsidRPr="00AA2007">
        <w:rPr>
          <w:sz w:val="24"/>
        </w:rPr>
        <w:t xml:space="preserve">(opzionali). Questo campo indica quale delle sei (per il momento) intestazioni estese, se presente, segue l’intestazione corrente. Se questa intestazione è l’ultima intestazione IP, il campo </w:t>
      </w:r>
      <w:proofErr w:type="spellStart"/>
      <w:r w:rsidRPr="00AA2007">
        <w:rPr>
          <w:sz w:val="24"/>
        </w:rPr>
        <w:t>next</w:t>
      </w:r>
      <w:proofErr w:type="spellEnd"/>
      <w:r w:rsidRPr="00AA2007">
        <w:rPr>
          <w:sz w:val="24"/>
        </w:rPr>
        <w:t xml:space="preserve"> header indica il gestore del protocollo di trasporto (TCP o UDP) al quale va passato il pacchetto.</w:t>
      </w:r>
    </w:p>
    <w:p w:rsidR="00AA2007" w:rsidRPr="00AA2007" w:rsidRDefault="00AA2007" w:rsidP="00AA2007">
      <w:pPr>
        <w:rPr>
          <w:sz w:val="24"/>
        </w:rPr>
      </w:pPr>
      <w:r w:rsidRPr="00AA2007">
        <w:rPr>
          <w:sz w:val="24"/>
        </w:rPr>
        <w:t xml:space="preserve">Il campo </w:t>
      </w:r>
      <w:r w:rsidRPr="00AA2007">
        <w:rPr>
          <w:b/>
          <w:i/>
          <w:sz w:val="24"/>
        </w:rPr>
        <w:t xml:space="preserve">hop </w:t>
      </w:r>
      <w:proofErr w:type="spellStart"/>
      <w:r w:rsidRPr="00AA2007">
        <w:rPr>
          <w:b/>
          <w:i/>
          <w:sz w:val="24"/>
        </w:rPr>
        <w:t>limit</w:t>
      </w:r>
      <w:proofErr w:type="spellEnd"/>
      <w:r w:rsidRPr="00AA2007">
        <w:rPr>
          <w:sz w:val="24"/>
        </w:rPr>
        <w:t xml:space="preserve"> è utilizzato per impedire ai pacchetti di vivere per sempre. In pratica, funziona come il campo lime to live di IPv4, vale a dire che è decrementato a ogni salto del pacchetto. In teoria, in IPv4 il valore rappresentava una durata espressa in secondi, ma nessun router utilizzava l’etichetta in quel modo, perciò il nome è stato modificato per riflettere il modo in cui è realmente utilizzato.</w:t>
      </w:r>
    </w:p>
    <w:p w:rsidR="00AA2007" w:rsidRDefault="00AA2007" w:rsidP="00AA2007">
      <w:pPr>
        <w:rPr>
          <w:sz w:val="24"/>
        </w:rPr>
      </w:pPr>
      <w:r w:rsidRPr="00AA2007">
        <w:rPr>
          <w:sz w:val="24"/>
        </w:rPr>
        <w:lastRenderedPageBreak/>
        <w:t>Gli ultimi campi rappresentano l’indirizzo sorgente (</w:t>
      </w:r>
      <w:r w:rsidRPr="00AA2007">
        <w:rPr>
          <w:b/>
          <w:i/>
          <w:sz w:val="24"/>
        </w:rPr>
        <w:t xml:space="preserve">source </w:t>
      </w:r>
      <w:proofErr w:type="spellStart"/>
      <w:r w:rsidRPr="00AA2007">
        <w:rPr>
          <w:b/>
          <w:i/>
          <w:sz w:val="24"/>
        </w:rPr>
        <w:t>address</w:t>
      </w:r>
      <w:proofErr w:type="spellEnd"/>
      <w:r w:rsidRPr="00AA2007">
        <w:rPr>
          <w:sz w:val="24"/>
        </w:rPr>
        <w:t>) e l’indirizzo di destinazione (</w:t>
      </w:r>
      <w:proofErr w:type="spellStart"/>
      <w:r w:rsidRPr="00AA2007">
        <w:rPr>
          <w:b/>
          <w:i/>
          <w:sz w:val="24"/>
        </w:rPr>
        <w:t>destination</w:t>
      </w:r>
      <w:proofErr w:type="spellEnd"/>
      <w:r w:rsidRPr="00AA2007">
        <w:rPr>
          <w:b/>
          <w:i/>
          <w:sz w:val="24"/>
        </w:rPr>
        <w:t xml:space="preserve"> </w:t>
      </w:r>
      <w:proofErr w:type="spellStart"/>
      <w:r w:rsidRPr="00AA2007">
        <w:rPr>
          <w:b/>
          <w:i/>
          <w:sz w:val="24"/>
        </w:rPr>
        <w:t>address</w:t>
      </w:r>
      <w:proofErr w:type="spellEnd"/>
      <w:r w:rsidRPr="00AA2007">
        <w:rPr>
          <w:sz w:val="24"/>
        </w:rPr>
        <w:t xml:space="preserve">). La proposta originale di </w:t>
      </w:r>
      <w:proofErr w:type="spellStart"/>
      <w:r w:rsidRPr="00AA2007">
        <w:rPr>
          <w:sz w:val="24"/>
        </w:rPr>
        <w:t>Deering</w:t>
      </w:r>
      <w:proofErr w:type="spellEnd"/>
      <w:r w:rsidRPr="00AA2007">
        <w:rPr>
          <w:sz w:val="24"/>
        </w:rPr>
        <w:t xml:space="preserve"> (SIP) utilizzava indirizzi a 8 byte, ma durante il processo di revisione i</w:t>
      </w:r>
      <w:bookmarkStart w:id="0" w:name="_GoBack"/>
      <w:bookmarkEnd w:id="0"/>
      <w:r w:rsidRPr="00AA2007">
        <w:rPr>
          <w:sz w:val="24"/>
        </w:rPr>
        <w:t>n molti pensavano che IPv6 avrebbe esaurito gli indirizzi entro pochi decenni usando 8 byte, mentre con indirizzi a 16 byte non si sarebbero mai esauriti. Altri sostenevano che 16 byte erano troppi, mentre altri ancora avrebbero preferito utilizzare indirizzi a 20 byte compatibili con il protocollo di data- gramma OSI. Un’altra fazione proponeva indirizzi di lunghezza variabile. Dopo un lungo dibattito vennero scelti gli indirizzi a 16 byte di lunghezza fissa, il miglior compromesso tra tutte le possibilità.</w:t>
      </w:r>
    </w:p>
    <w:p w:rsidR="00AA2007" w:rsidRDefault="00AA2007" w:rsidP="00AA200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48368" cy="406311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95" cy="406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Default="00AA2007">
      <w:pPr>
        <w:rPr>
          <w:sz w:val="24"/>
        </w:rPr>
      </w:pPr>
    </w:p>
    <w:p w:rsidR="00AA2007" w:rsidRPr="00AA2007" w:rsidRDefault="00AA2007">
      <w:pPr>
        <w:rPr>
          <w:sz w:val="24"/>
        </w:rPr>
      </w:pPr>
    </w:p>
    <w:sectPr w:rsidR="00AA2007" w:rsidRPr="00AA2007" w:rsidSect="00AA20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07"/>
    <w:rsid w:val="00A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8F6F"/>
  <w15:chartTrackingRefBased/>
  <w15:docId w15:val="{A74875D3-1CB4-41C0-8652-3D240961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A200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2007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2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2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emexcomputer.it/indirizzo-ipv6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</cp:revision>
  <dcterms:created xsi:type="dcterms:W3CDTF">2019-05-04T10:07:00Z</dcterms:created>
  <dcterms:modified xsi:type="dcterms:W3CDTF">2019-05-04T10:13:00Z</dcterms:modified>
</cp:coreProperties>
</file>