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 lang="it"&gt;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&lt;title&gt;Business Services&lt;/title&gt;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/* Stile generale */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body, html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/* Contenitore dell'header */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height: 60px;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background: rgba(0, 0, 50, 0.9);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0 20px;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box-shadow: 0 2px 10px rgba(0, 0, 0, 0.2);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font-size: 1.5em;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.nav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.nav a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/* Sfondo con immagine sfocata */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background: url('https://source.unsplash.com/1600x900/?business,office,meeting') no-repeat center center/cover;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filter: blur(5px);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/* Sovrapposizione scura */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.overlay 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background: rgba(0, 0, 0, 0.5);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/* Testo principale */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.title {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font-size: 2.8em;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font-size: 1.8em;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&lt;!-- Header con menu --&gt;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class="logo"&gt;Company Name&lt;/div&gt;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class="nav"&gt;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&lt;a href="#"&gt;Home&lt;/a&gt;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&lt;a href="#"&gt;About&lt;/a&gt;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&lt;a href="#"&gt;Services&lt;/a&gt;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&lt;a href="#"&gt;Contact&lt;/a&gt;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&lt;!-- Sezione principale con immagine sfocata --&gt;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class="hero"&gt;&lt;/div&gt;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&lt;!-- Testo sopra l'immagine --&gt;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class="overlay"&gt;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class="title"&gt;#1 Tax Services Provider&lt;/div&gt;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&lt;div class="subtitle"&gt;Since the Late 1990s&lt;/div&gt;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 salvalo 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