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5176" w14:textId="0C9C1F3E" w:rsidR="00556754" w:rsidRPr="00556754" w:rsidRDefault="00556754" w:rsidP="000107DB">
      <w:pPr>
        <w:spacing w:after="0" w:line="257" w:lineRule="auto"/>
        <w:rPr>
          <w:lang w:val="it-IT"/>
        </w:rPr>
      </w:pPr>
      <w:r w:rsidRPr="00556754">
        <w:rPr>
          <w:b/>
          <w:bCs/>
          <w:lang w:val="it-IT"/>
        </w:rPr>
        <w:t>NACP:</w:t>
      </w:r>
      <w:r>
        <w:rPr>
          <w:b/>
          <w:bCs/>
          <w:lang w:val="it-IT"/>
        </w:rPr>
        <w:t xml:space="preserve"> </w:t>
      </w:r>
      <w:proofErr w:type="spellStart"/>
      <w:r w:rsidRPr="00556754">
        <w:rPr>
          <w:lang w:val="it-IT"/>
        </w:rPr>
        <w:t>Nuclear</w:t>
      </w:r>
      <w:proofErr w:type="spellEnd"/>
      <w:r w:rsidRPr="00556754">
        <w:rPr>
          <w:lang w:val="it-IT"/>
        </w:rPr>
        <w:t xml:space="preserve"> </w:t>
      </w:r>
      <w:proofErr w:type="spellStart"/>
      <w:r w:rsidRPr="00556754">
        <w:rPr>
          <w:lang w:val="it-IT"/>
        </w:rPr>
        <w:t>Attractor</w:t>
      </w:r>
      <w:proofErr w:type="spellEnd"/>
      <w:r w:rsidRPr="00556754">
        <w:rPr>
          <w:lang w:val="it-IT"/>
        </w:rPr>
        <w:t xml:space="preserve"> </w:t>
      </w:r>
      <w:proofErr w:type="spellStart"/>
      <w:r w:rsidRPr="00556754">
        <w:rPr>
          <w:lang w:val="it-IT"/>
        </w:rPr>
        <w:t>Critial</w:t>
      </w:r>
      <w:proofErr w:type="spellEnd"/>
      <w:r w:rsidRPr="00556754">
        <w:rPr>
          <w:lang w:val="it-IT"/>
        </w:rPr>
        <w:t xml:space="preserve"> Points</w:t>
      </w:r>
      <w:r w:rsidRPr="00556754">
        <w:rPr>
          <w:b/>
          <w:bCs/>
          <w:lang w:val="it-IT"/>
        </w:rPr>
        <w:t xml:space="preserve"> </w:t>
      </w:r>
      <w:r w:rsidRPr="00556754">
        <w:rPr>
          <w:lang w:val="it-IT"/>
        </w:rPr>
        <w:t>posizioni dei nu</w:t>
      </w:r>
      <w:r>
        <w:rPr>
          <w:lang w:val="it-IT"/>
        </w:rPr>
        <w:t xml:space="preserve">clei. 6 NACP nell’etilene: 2 carboni e 4 idrogeni. </w:t>
      </w:r>
    </w:p>
    <w:p w14:paraId="4DC1303A" w14:textId="114B6BBA" w:rsidR="00556754" w:rsidRDefault="00556754" w:rsidP="000107DB">
      <w:pPr>
        <w:spacing w:after="0" w:line="257" w:lineRule="auto"/>
        <w:rPr>
          <w:lang w:val="it-IT"/>
        </w:rPr>
      </w:pPr>
      <w:r w:rsidRPr="00556754">
        <w:rPr>
          <w:b/>
          <w:bCs/>
          <w:lang w:val="en-GB"/>
        </w:rPr>
        <w:t xml:space="preserve">BCP: </w:t>
      </w:r>
      <w:r w:rsidRPr="00556754">
        <w:rPr>
          <w:lang w:val="en-GB"/>
        </w:rPr>
        <w:t xml:space="preserve">Bond Critical Points. </w:t>
      </w:r>
      <w:r w:rsidRPr="00556754">
        <w:rPr>
          <w:lang w:val="it-IT"/>
        </w:rPr>
        <w:t xml:space="preserve">Punti </w:t>
      </w:r>
      <w:r>
        <w:rPr>
          <w:lang w:val="it-IT"/>
        </w:rPr>
        <w:t xml:space="preserve">dei bond </w:t>
      </w:r>
      <w:r w:rsidRPr="00556754">
        <w:rPr>
          <w:lang w:val="it-IT"/>
        </w:rPr>
        <w:t>con densità elettronica m</w:t>
      </w:r>
      <w:r>
        <w:rPr>
          <w:lang w:val="it-IT"/>
        </w:rPr>
        <w:t xml:space="preserve">inima. </w:t>
      </w:r>
    </w:p>
    <w:p w14:paraId="2BA7FD47" w14:textId="77777777" w:rsidR="000107DB" w:rsidRDefault="000107DB" w:rsidP="000107DB">
      <w:pPr>
        <w:spacing w:after="0" w:line="257" w:lineRule="auto"/>
        <w:rPr>
          <w:lang w:val="it-IT"/>
        </w:rPr>
      </w:pPr>
    </w:p>
    <w:p w14:paraId="01F7B2FB" w14:textId="77777777" w:rsidR="000107DB" w:rsidRDefault="00556754" w:rsidP="000107DB">
      <w:pPr>
        <w:spacing w:after="0" w:line="257" w:lineRule="auto"/>
        <w:rPr>
          <w:b/>
          <w:bCs/>
        </w:rPr>
      </w:pPr>
      <w:r w:rsidRPr="00556754">
        <w:rPr>
          <w:b/>
          <w:bCs/>
          <w:lang w:val="it-IT"/>
        </w:rPr>
        <w:t>Ring Critical Point (RCP):</w:t>
      </w:r>
      <w:r w:rsidRPr="00556754">
        <w:rPr>
          <w:lang w:val="it-IT"/>
        </w:rPr>
        <w:t xml:space="preserve"> Punti </w:t>
      </w:r>
      <w:r>
        <w:rPr>
          <w:lang w:val="it-IT"/>
        </w:rPr>
        <w:t>de</w:t>
      </w:r>
      <w:r>
        <w:rPr>
          <w:lang w:val="it-IT"/>
        </w:rPr>
        <w:t xml:space="preserve">gli anelli </w:t>
      </w:r>
      <w:r w:rsidRPr="00556754">
        <w:rPr>
          <w:lang w:val="it-IT"/>
        </w:rPr>
        <w:t xml:space="preserve">con densità elettronica </w:t>
      </w:r>
      <w:r>
        <w:rPr>
          <w:lang w:val="it-IT"/>
        </w:rPr>
        <w:t xml:space="preserve">minima. Non ci sono ring </w:t>
      </w:r>
      <w:r w:rsidR="000107DB">
        <w:rPr>
          <w:lang w:val="it-IT"/>
        </w:rPr>
        <w:t>nell’etilene</w:t>
      </w:r>
      <w:r>
        <w:rPr>
          <w:lang w:val="it-IT"/>
        </w:rPr>
        <w:t>.</w:t>
      </w:r>
    </w:p>
    <w:p w14:paraId="5EB18B91" w14:textId="179392C9" w:rsidR="00556754" w:rsidRPr="0003523B" w:rsidRDefault="0003523B" w:rsidP="000107DB">
      <w:pPr>
        <w:spacing w:after="0" w:line="257" w:lineRule="auto"/>
        <w:rPr>
          <w:rFonts w:eastAsiaTheme="minorEastAsia"/>
          <w:lang w:val="it-IT"/>
        </w:rPr>
      </w:pPr>
      <w:r w:rsidRPr="0003523B">
        <w:rPr>
          <w:lang w:val="it-IT"/>
        </w:rPr>
        <w:t xml:space="preserve">La densità elettronica </w:t>
      </w:r>
      <m:oMath>
        <m:r>
          <w:rPr>
            <w:rFonts w:ascii="Cambria Math" w:hAnsi="Cambria Math"/>
          </w:rPr>
          <m:t>ρ</m:t>
        </m:r>
      </m:oMath>
      <w:r w:rsidRPr="0003523B">
        <w:rPr>
          <w:rFonts w:eastAsiaTheme="minorEastAsia"/>
          <w:lang w:val="it-IT"/>
        </w:rPr>
        <w:t xml:space="preserve"> è uguale per i tipi di bond: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4532"/>
      </w:tblGrid>
      <w:tr w:rsidR="0003523B" w:rsidRPr="0003523B" w14:paraId="248B6CCE" w14:textId="77777777" w:rsidTr="00180E40">
        <w:tc>
          <w:tcPr>
            <w:tcW w:w="1129" w:type="dxa"/>
          </w:tcPr>
          <w:p w14:paraId="307D079B" w14:textId="56EB3440" w:rsidR="0003523B" w:rsidRDefault="0003523B" w:rsidP="0003523B">
            <w:pPr>
              <w:spacing w:after="0" w:line="257" w:lineRule="auto"/>
              <w:jc w:val="center"/>
              <w:rPr>
                <w:rFonts w:ascii="Aptos" w:eastAsia="Times New Roman" w:hAnsi="Aptos" w:cs="Times New Roman"/>
                <w:lang w:val="it-IT"/>
              </w:rPr>
            </w:pPr>
            <w:r>
              <w:rPr>
                <w:rFonts w:ascii="Aptos" w:eastAsia="Times New Roman" w:hAnsi="Aptos" w:cs="Times New Roman"/>
                <w:lang w:val="it-IT"/>
              </w:rPr>
              <w:t>Bond</w:t>
            </w:r>
          </w:p>
        </w:tc>
        <w:tc>
          <w:tcPr>
            <w:tcW w:w="993" w:type="dxa"/>
          </w:tcPr>
          <w:p w14:paraId="47999E66" w14:textId="69AD7E77" w:rsidR="0003523B" w:rsidRDefault="0003523B" w:rsidP="0003523B">
            <w:pPr>
              <w:spacing w:after="0" w:line="257" w:lineRule="auto"/>
              <w:jc w:val="center"/>
              <w:rPr>
                <w:rFonts w:ascii="Aptos" w:eastAsia="Aptos" w:hAnsi="Aptos" w:cs="Times New Roman"/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4532" w:type="dxa"/>
          </w:tcPr>
          <w:p w14:paraId="6B5E87C4" w14:textId="5D71DB8C" w:rsidR="0003523B" w:rsidRPr="0003523B" w:rsidRDefault="0003523B" w:rsidP="0003523B">
            <w:pPr>
              <w:spacing w:after="0" w:line="257" w:lineRule="auto"/>
              <w:rPr>
                <w:lang w:val="it-IT"/>
              </w:rPr>
            </w:pPr>
            <w:r>
              <w:rPr>
                <w:lang w:val="it-IT"/>
              </w:rPr>
              <w:t>Considerazioni</w:t>
            </w:r>
          </w:p>
        </w:tc>
      </w:tr>
      <w:tr w:rsidR="0003523B" w:rsidRPr="0003523B" w14:paraId="08C12702" w14:textId="77777777" w:rsidTr="00180E40">
        <w:tc>
          <w:tcPr>
            <w:tcW w:w="1129" w:type="dxa"/>
          </w:tcPr>
          <w:p w14:paraId="7002CC95" w14:textId="58366FB1" w:rsidR="0003523B" w:rsidRPr="0003523B" w:rsidRDefault="0003523B" w:rsidP="0003523B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C-C</m:t>
                </m:r>
              </m:oMath>
            </m:oMathPara>
          </w:p>
        </w:tc>
        <w:tc>
          <w:tcPr>
            <w:tcW w:w="993" w:type="dxa"/>
          </w:tcPr>
          <w:p w14:paraId="366F72CE" w14:textId="4180D4FD" w:rsidR="0003523B" w:rsidRPr="0003523B" w:rsidRDefault="0003523B" w:rsidP="0003523B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0.3556</m:t>
                </m:r>
              </m:oMath>
            </m:oMathPara>
          </w:p>
        </w:tc>
        <w:tc>
          <w:tcPr>
            <w:tcW w:w="4532" w:type="dxa"/>
          </w:tcPr>
          <w:p w14:paraId="6C941A48" w14:textId="717E3296" w:rsidR="0003523B" w:rsidRPr="0003523B" w:rsidRDefault="0003523B" w:rsidP="0003523B">
            <w:pPr>
              <w:spacing w:after="0" w:line="257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È un legame doppio, quindi più alta la densità</w:t>
            </w:r>
          </w:p>
        </w:tc>
      </w:tr>
      <w:tr w:rsidR="0003523B" w:rsidRPr="0003523B" w14:paraId="046E35DF" w14:textId="77777777" w:rsidTr="00180E40">
        <w:tc>
          <w:tcPr>
            <w:tcW w:w="1129" w:type="dxa"/>
          </w:tcPr>
          <w:p w14:paraId="75022C19" w14:textId="4245F0F3" w:rsidR="0003523B" w:rsidRPr="0003523B" w:rsidRDefault="0003523B" w:rsidP="0003523B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C-H</m:t>
                </m:r>
              </m:oMath>
            </m:oMathPara>
          </w:p>
        </w:tc>
        <w:tc>
          <w:tcPr>
            <w:tcW w:w="993" w:type="dxa"/>
          </w:tcPr>
          <w:p w14:paraId="6F62BA02" w14:textId="360623A3" w:rsidR="0003523B" w:rsidRPr="0003523B" w:rsidRDefault="0003523B" w:rsidP="0003523B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283</m:t>
                </m:r>
              </m:oMath>
            </m:oMathPara>
          </w:p>
        </w:tc>
        <w:tc>
          <w:tcPr>
            <w:tcW w:w="4532" w:type="dxa"/>
          </w:tcPr>
          <w:p w14:paraId="3986D38A" w14:textId="77777777" w:rsidR="0003523B" w:rsidRPr="0003523B" w:rsidRDefault="0003523B" w:rsidP="0003523B">
            <w:pPr>
              <w:spacing w:after="0" w:line="257" w:lineRule="auto"/>
              <w:jc w:val="center"/>
              <w:rPr>
                <w:lang w:val="it-IT"/>
              </w:rPr>
            </w:pPr>
          </w:p>
        </w:tc>
      </w:tr>
    </w:tbl>
    <w:p w14:paraId="4C493EE6" w14:textId="77777777" w:rsidR="0003523B" w:rsidRDefault="0003523B" w:rsidP="000107DB">
      <w:pPr>
        <w:spacing w:after="0" w:line="257" w:lineRule="auto"/>
        <w:rPr>
          <w:b/>
          <w:bCs/>
        </w:rPr>
      </w:pPr>
    </w:p>
    <w:p w14:paraId="60B00AC8" w14:textId="5C9A8CC5" w:rsidR="0003523B" w:rsidRPr="0003523B" w:rsidRDefault="0003523B" w:rsidP="0003523B">
      <w:pPr>
        <w:spacing w:after="0" w:line="257" w:lineRule="auto"/>
        <w:rPr>
          <w:lang w:val="it-IT"/>
        </w:rPr>
      </w:pPr>
      <w:r w:rsidRPr="0003523B">
        <w:rPr>
          <w:b/>
          <w:bCs/>
          <w:lang w:val="it-IT"/>
        </w:rPr>
        <w:t xml:space="preserve">Ellitticità dei bond: </w:t>
      </w:r>
      <w:r w:rsidRPr="0003523B">
        <w:rPr>
          <w:lang w:val="it-IT"/>
        </w:rPr>
        <w:t>deviazione d</w:t>
      </w:r>
      <w:r>
        <w:rPr>
          <w:lang w:val="it-IT"/>
        </w:rPr>
        <w:t>ella densità elettronica dalla simmetria cilindrica.</w:t>
      </w:r>
    </w:p>
    <w:p w14:paraId="0D72ECA3" w14:textId="272F67DB" w:rsidR="0003523B" w:rsidRDefault="0003523B" w:rsidP="0003523B">
      <w:pPr>
        <w:pStyle w:val="NormaleWeb"/>
        <w:jc w:val="center"/>
      </w:pPr>
      <w:r>
        <w:rPr>
          <w:noProof/>
        </w:rPr>
        <w:drawing>
          <wp:inline distT="0" distB="0" distL="0" distR="0" wp14:anchorId="63AA0AF3" wp14:editId="49DE129B">
            <wp:extent cx="1780812" cy="1068565"/>
            <wp:effectExtent l="0" t="0" r="0" b="0"/>
            <wp:docPr id="203940269" name="Immagine 1" descr="Immagine che contiene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0269" name="Immagine 1" descr="Immagine che contiene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6" t="16912" r="16802" b="19658"/>
                    <a:stretch/>
                  </pic:blipFill>
                  <pic:spPr bwMode="auto">
                    <a:xfrm>
                      <a:off x="0" y="0"/>
                      <a:ext cx="1787026" cy="10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520"/>
      </w:tblGrid>
      <w:tr w:rsidR="0003523B" w:rsidRPr="0003523B" w14:paraId="64833EAE" w14:textId="77777777" w:rsidTr="00180E40">
        <w:tc>
          <w:tcPr>
            <w:tcW w:w="1129" w:type="dxa"/>
          </w:tcPr>
          <w:p w14:paraId="374CEB2F" w14:textId="77777777" w:rsidR="0003523B" w:rsidRDefault="0003523B" w:rsidP="00C46864">
            <w:pPr>
              <w:spacing w:after="0" w:line="257" w:lineRule="auto"/>
              <w:jc w:val="center"/>
              <w:rPr>
                <w:rFonts w:ascii="Aptos" w:eastAsia="Times New Roman" w:hAnsi="Aptos" w:cs="Times New Roman"/>
                <w:lang w:val="it-IT"/>
              </w:rPr>
            </w:pPr>
            <w:r>
              <w:rPr>
                <w:rFonts w:ascii="Aptos" w:eastAsia="Times New Roman" w:hAnsi="Aptos" w:cs="Times New Roman"/>
                <w:lang w:val="it-IT"/>
              </w:rPr>
              <w:t>Bond</w:t>
            </w:r>
          </w:p>
        </w:tc>
        <w:tc>
          <w:tcPr>
            <w:tcW w:w="993" w:type="dxa"/>
          </w:tcPr>
          <w:p w14:paraId="1CE7474A" w14:textId="77777777" w:rsidR="0003523B" w:rsidRDefault="0003523B" w:rsidP="00C46864">
            <w:pPr>
              <w:spacing w:after="0" w:line="257" w:lineRule="auto"/>
              <w:jc w:val="center"/>
              <w:rPr>
                <w:rFonts w:ascii="Aptos" w:eastAsia="Aptos" w:hAnsi="Aptos" w:cs="Times New Roman"/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6520" w:type="dxa"/>
          </w:tcPr>
          <w:p w14:paraId="6FA693DB" w14:textId="77777777" w:rsidR="0003523B" w:rsidRPr="0003523B" w:rsidRDefault="0003523B" w:rsidP="00C46864">
            <w:pPr>
              <w:spacing w:after="0" w:line="257" w:lineRule="auto"/>
              <w:rPr>
                <w:lang w:val="it-IT"/>
              </w:rPr>
            </w:pPr>
            <w:r>
              <w:rPr>
                <w:lang w:val="it-IT"/>
              </w:rPr>
              <w:t>Considerazioni</w:t>
            </w:r>
          </w:p>
        </w:tc>
      </w:tr>
      <w:tr w:rsidR="0003523B" w:rsidRPr="0003523B" w14:paraId="4F673174" w14:textId="77777777" w:rsidTr="00180E40">
        <w:tc>
          <w:tcPr>
            <w:tcW w:w="1129" w:type="dxa"/>
          </w:tcPr>
          <w:p w14:paraId="1A087873" w14:textId="77777777" w:rsidR="0003523B" w:rsidRPr="0003523B" w:rsidRDefault="0003523B" w:rsidP="00C46864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C-C</m:t>
                </m:r>
              </m:oMath>
            </m:oMathPara>
          </w:p>
        </w:tc>
        <w:tc>
          <w:tcPr>
            <w:tcW w:w="993" w:type="dxa"/>
          </w:tcPr>
          <w:p w14:paraId="52018215" w14:textId="27677A13" w:rsidR="0003523B" w:rsidRPr="0003523B" w:rsidRDefault="0003523B" w:rsidP="00C46864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0.35</m:t>
                </m:r>
                <m:r>
                  <w:rPr>
                    <w:rFonts w:ascii="Cambria Math" w:hAnsi="Cambria Math"/>
                    <w:lang w:val="it-IT"/>
                  </w:rPr>
                  <m:t>94</m:t>
                </m:r>
              </m:oMath>
            </m:oMathPara>
          </w:p>
        </w:tc>
        <w:tc>
          <w:tcPr>
            <w:tcW w:w="6520" w:type="dxa"/>
          </w:tcPr>
          <w:p w14:paraId="1EE84336" w14:textId="3E879EA8" w:rsidR="0003523B" w:rsidRPr="0003523B" w:rsidRDefault="00180E40" w:rsidP="00180E40">
            <w:pPr>
              <w:spacing w:after="0" w:line="257" w:lineRule="auto"/>
              <w:rPr>
                <w:lang w:val="it-IT"/>
              </w:rPr>
            </w:pPr>
            <w:r>
              <w:rPr>
                <w:lang w:val="it-IT"/>
              </w:rPr>
              <w:t xml:space="preserve">Poco lontano da simmetria cilindrica. Bond </w:t>
            </w:r>
            <m:oMath>
              <m:r>
                <w:rPr>
                  <w:rFonts w:ascii="Cambria Math" w:hAnsi="Cambria Math"/>
                  <w:lang w:val="it-IT"/>
                </w:rPr>
                <m:t>π</m:t>
              </m:r>
            </m:oMath>
          </w:p>
        </w:tc>
      </w:tr>
      <w:tr w:rsidR="0003523B" w:rsidRPr="0003523B" w14:paraId="500B42EF" w14:textId="77777777" w:rsidTr="00180E40">
        <w:tc>
          <w:tcPr>
            <w:tcW w:w="1129" w:type="dxa"/>
          </w:tcPr>
          <w:p w14:paraId="44E109E1" w14:textId="77777777" w:rsidR="0003523B" w:rsidRPr="0003523B" w:rsidRDefault="0003523B" w:rsidP="00C46864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C-H</m:t>
                </m:r>
              </m:oMath>
            </m:oMathPara>
          </w:p>
        </w:tc>
        <w:tc>
          <w:tcPr>
            <w:tcW w:w="993" w:type="dxa"/>
          </w:tcPr>
          <w:p w14:paraId="0844D54F" w14:textId="4E7DC43C" w:rsidR="0003523B" w:rsidRPr="0003523B" w:rsidRDefault="0003523B" w:rsidP="00C46864">
            <w:pPr>
              <w:spacing w:after="0" w:line="257" w:lineRule="auto"/>
              <w:jc w:val="center"/>
              <w:rPr>
                <w:lang w:val="it-I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0136</m:t>
                </m:r>
              </m:oMath>
            </m:oMathPara>
          </w:p>
        </w:tc>
        <w:tc>
          <w:tcPr>
            <w:tcW w:w="6520" w:type="dxa"/>
          </w:tcPr>
          <w:p w14:paraId="53B7DFA3" w14:textId="3E3314A3" w:rsidR="0003523B" w:rsidRPr="0003523B" w:rsidRDefault="00180E40" w:rsidP="00180E40">
            <w:pPr>
              <w:spacing w:after="0" w:line="257" w:lineRule="auto"/>
              <w:rPr>
                <w:lang w:val="it-IT"/>
              </w:rPr>
            </w:pPr>
            <w:r>
              <w:rPr>
                <w:lang w:val="it-IT"/>
              </w:rPr>
              <w:t xml:space="preserve">Distribuzione elettronica distribuita cilindricamente. Bond </w:t>
            </w:r>
            <m:oMath>
              <m:r>
                <w:rPr>
                  <w:rFonts w:ascii="Cambria Math" w:hAnsi="Cambria Math"/>
                  <w:lang w:val="it-IT"/>
                </w:rPr>
                <m:t>σ</m:t>
              </m:r>
            </m:oMath>
          </w:p>
        </w:tc>
      </w:tr>
    </w:tbl>
    <w:p w14:paraId="78AF56DC" w14:textId="77777777" w:rsidR="0003523B" w:rsidRPr="0003523B" w:rsidRDefault="0003523B" w:rsidP="000107DB">
      <w:pPr>
        <w:spacing w:after="0" w:line="257" w:lineRule="auto"/>
        <w:rPr>
          <w:lang w:val="it-IT"/>
        </w:rPr>
      </w:pPr>
    </w:p>
    <w:p w14:paraId="55809172" w14:textId="77777777" w:rsidR="00264A1B" w:rsidRDefault="00264A1B" w:rsidP="000107DB">
      <w:pPr>
        <w:spacing w:after="0" w:line="257" w:lineRule="auto"/>
      </w:pPr>
    </w:p>
    <w:p w14:paraId="4CE4BC9C" w14:textId="77777777" w:rsidR="00180E40" w:rsidRDefault="00180E40" w:rsidP="000107DB">
      <w:pPr>
        <w:spacing w:after="0" w:line="257" w:lineRule="auto"/>
      </w:pPr>
    </w:p>
    <w:p w14:paraId="1DC03A77" w14:textId="1DC57D68" w:rsidR="00180E40" w:rsidRDefault="00180E40" w:rsidP="00180E40">
      <w:pPr>
        <w:pStyle w:val="NormaleWeb"/>
        <w:jc w:val="center"/>
      </w:pPr>
      <w:r>
        <w:rPr>
          <w:noProof/>
        </w:rPr>
        <w:drawing>
          <wp:inline distT="0" distB="0" distL="0" distR="0" wp14:anchorId="453502FB" wp14:editId="0564284F">
            <wp:extent cx="3124296" cy="1799112"/>
            <wp:effectExtent l="0" t="0" r="0" b="0"/>
            <wp:docPr id="676487405" name="Immagine 2" descr="Immagine che contiene cerchio, schermata, bol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87405" name="Immagine 2" descr="Immagine che contiene cerchio, schermata, bol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348" cy="180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0130" w14:textId="77777777" w:rsidR="00180E40" w:rsidRDefault="00180E40" w:rsidP="000107DB">
      <w:pPr>
        <w:spacing w:after="0" w:line="257" w:lineRule="auto"/>
      </w:pPr>
    </w:p>
    <w:sectPr w:rsidR="00180E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D111F"/>
    <w:multiLevelType w:val="multilevel"/>
    <w:tmpl w:val="F0D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1E7"/>
    <w:multiLevelType w:val="multilevel"/>
    <w:tmpl w:val="973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47189"/>
    <w:multiLevelType w:val="multilevel"/>
    <w:tmpl w:val="DB4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621A4"/>
    <w:multiLevelType w:val="multilevel"/>
    <w:tmpl w:val="708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939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13396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76186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906806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4"/>
    <w:rsid w:val="000107DB"/>
    <w:rsid w:val="0003523B"/>
    <w:rsid w:val="000C3602"/>
    <w:rsid w:val="00180E40"/>
    <w:rsid w:val="00264A1B"/>
    <w:rsid w:val="00556754"/>
    <w:rsid w:val="00B3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BD92"/>
  <w15:chartTrackingRefBased/>
  <w15:docId w15:val="{64E62757-BB19-400F-9996-B2B48CC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6754"/>
    <w:pPr>
      <w:spacing w:after="160" w:line="256" w:lineRule="auto"/>
    </w:pPr>
    <w:rPr>
      <w:kern w:val="2"/>
      <w:lang w:val="en-US"/>
      <w14:ligatures w14:val="standardContextu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6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6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67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67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67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67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67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67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675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675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6754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675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6754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675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6754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67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675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6754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5567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67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6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6754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55675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03523B"/>
    <w:rPr>
      <w:color w:val="666666"/>
    </w:rPr>
  </w:style>
  <w:style w:type="table" w:styleId="Grigliatabella">
    <w:name w:val="Table Grid"/>
    <w:basedOn w:val="Tabellanormale"/>
    <w:uiPriority w:val="39"/>
    <w:rsid w:val="000352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03523B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03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</cp:revision>
  <dcterms:created xsi:type="dcterms:W3CDTF">2024-06-23T09:13:00Z</dcterms:created>
  <dcterms:modified xsi:type="dcterms:W3CDTF">2024-06-23T09:47:00Z</dcterms:modified>
</cp:coreProperties>
</file>