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1D565" w14:textId="77777777" w:rsidR="00FA4B87" w:rsidRPr="009F51C5" w:rsidRDefault="009F51C5" w:rsidP="009E3DDE">
      <w:pPr>
        <w:jc w:val="center"/>
        <w:rPr>
          <w:rFonts w:asciiTheme="majorHAnsi" w:hAnsiTheme="majorHAnsi" w:cstheme="majorHAnsi"/>
          <w:b/>
          <w:color w:val="FF0000"/>
          <w:sz w:val="36"/>
          <w:szCs w:val="36"/>
        </w:rPr>
      </w:pPr>
      <w:r w:rsidRPr="009F51C5">
        <w:rPr>
          <w:rFonts w:asciiTheme="majorHAnsi" w:hAnsiTheme="majorHAnsi" w:cstheme="majorHAnsi"/>
          <w:b/>
          <w:color w:val="FF0000"/>
          <w:sz w:val="36"/>
          <w:szCs w:val="36"/>
        </w:rPr>
        <w:t>RELAZIONE FONTE DEI DATI</w:t>
      </w:r>
    </w:p>
    <w:p w14:paraId="672A6659" w14:textId="77777777" w:rsidR="00FA4B87" w:rsidRPr="004C63A0" w:rsidRDefault="00FA4B87">
      <w:pPr>
        <w:rPr>
          <w:rFonts w:asciiTheme="majorHAnsi" w:hAnsiTheme="majorHAnsi" w:cstheme="majorHAnsi"/>
          <w:color w:val="FF0000"/>
          <w:sz w:val="36"/>
          <w:szCs w:val="36"/>
        </w:rPr>
      </w:pPr>
    </w:p>
    <w:p w14:paraId="2D39E03C" w14:textId="77777777" w:rsidR="00FA4B87" w:rsidRPr="004C63A0" w:rsidRDefault="00FA4B87">
      <w:pPr>
        <w:rPr>
          <w:rFonts w:asciiTheme="majorHAnsi" w:hAnsiTheme="majorHAnsi" w:cstheme="majorHAnsi"/>
          <w:sz w:val="36"/>
          <w:szCs w:val="36"/>
        </w:rPr>
      </w:pPr>
      <w:r w:rsidRPr="004C63A0">
        <w:rPr>
          <w:rFonts w:asciiTheme="majorHAnsi" w:hAnsiTheme="majorHAnsi" w:cstheme="majorHAnsi"/>
          <w:sz w:val="36"/>
          <w:szCs w:val="36"/>
        </w:rPr>
        <w:t xml:space="preserve">Le fonti principali da cui sono stati estrapolati i dati sono due: </w:t>
      </w:r>
    </w:p>
    <w:p w14:paraId="309BA344" w14:textId="2AE9D01F" w:rsidR="00FA4B87" w:rsidRPr="004C63A0" w:rsidRDefault="514E057A" w:rsidP="514E057A">
      <w:pPr>
        <w:rPr>
          <w:rFonts w:asciiTheme="majorHAnsi" w:hAnsiTheme="majorHAnsi" w:cstheme="majorBidi"/>
          <w:sz w:val="36"/>
          <w:szCs w:val="36"/>
        </w:rPr>
      </w:pPr>
      <w:r w:rsidRPr="514E057A">
        <w:rPr>
          <w:rFonts w:asciiTheme="majorHAnsi" w:hAnsiTheme="majorHAnsi" w:cstheme="majorBidi"/>
          <w:sz w:val="36"/>
          <w:szCs w:val="36"/>
        </w:rPr>
        <w:t>Il sito del dipartimento della protezione civile (</w:t>
      </w:r>
      <w:hyperlink r:id="rId5">
        <w:r w:rsidRPr="514E057A">
          <w:rPr>
            <w:rStyle w:val="Collegamentoipertestuale"/>
            <w:rFonts w:asciiTheme="majorHAnsi" w:hAnsiTheme="majorHAnsi" w:cstheme="majorBidi"/>
            <w:sz w:val="36"/>
            <w:szCs w:val="36"/>
          </w:rPr>
          <w:t>https://emergenze.protezionecivile.gov.it/it/sanitarie/coronavirus/</w:t>
        </w:r>
      </w:hyperlink>
      <w:r w:rsidRPr="514E057A">
        <w:rPr>
          <w:rFonts w:asciiTheme="majorHAnsi" w:hAnsiTheme="majorHAnsi" w:cstheme="majorBidi"/>
          <w:sz w:val="36"/>
          <w:szCs w:val="36"/>
        </w:rPr>
        <w:t xml:space="preserve">), da cui sono stati presi i dati relativi alle varie regioni italiane, i valori dei contagiati, dei guariti, e dei deceduti. I dati considerati per l’analisi sono quelli relativi al triennio 2020-2023 in quanto il sito riportava la </w:t>
      </w:r>
      <w:r w:rsidRPr="514E057A">
        <w:rPr>
          <w:rFonts w:asciiTheme="majorHAnsi" w:hAnsiTheme="majorHAnsi" w:cstheme="majorBidi"/>
          <w:sz w:val="36"/>
          <w:szCs w:val="36"/>
          <w:highlight w:val="yellow"/>
        </w:rPr>
        <w:t>mancata fondatezza dei dati relativi al 2024</w:t>
      </w:r>
      <w:r w:rsidRPr="514E057A">
        <w:rPr>
          <w:rFonts w:asciiTheme="majorHAnsi" w:hAnsiTheme="majorHAnsi" w:cstheme="majorBidi"/>
          <w:sz w:val="36"/>
          <w:szCs w:val="36"/>
        </w:rPr>
        <w:t xml:space="preserve"> in molte regioni italiane.</w:t>
      </w:r>
    </w:p>
    <w:p w14:paraId="14A11A38" w14:textId="53E5C932" w:rsidR="003C18DD" w:rsidRPr="004C63A0" w:rsidRDefault="514E057A" w:rsidP="514E057A">
      <w:pPr>
        <w:rPr>
          <w:rFonts w:asciiTheme="majorHAnsi" w:hAnsiTheme="majorHAnsi" w:cstheme="majorBidi"/>
          <w:sz w:val="36"/>
          <w:szCs w:val="36"/>
        </w:rPr>
      </w:pPr>
      <w:r w:rsidRPr="514E057A">
        <w:rPr>
          <w:rFonts w:asciiTheme="majorHAnsi" w:hAnsiTheme="majorHAnsi" w:cstheme="majorBidi"/>
          <w:sz w:val="36"/>
          <w:szCs w:val="36"/>
        </w:rPr>
        <w:t>Successivamente i dati relativi alle vaccinazioni sono stati invece presi dal sito del Ministero Della Salute (</w:t>
      </w:r>
      <w:hyperlink r:id="rId6">
        <w:r w:rsidRPr="514E057A">
          <w:rPr>
            <w:rStyle w:val="Collegamentoipertestuale"/>
            <w:rFonts w:asciiTheme="majorHAnsi" w:hAnsiTheme="majorHAnsi" w:cstheme="majorBidi"/>
            <w:sz w:val="36"/>
            <w:szCs w:val="36"/>
          </w:rPr>
          <w:t>https://www.governo.it/it/cscovid19/report-vaccini/</w:t>
        </w:r>
      </w:hyperlink>
      <w:r w:rsidRPr="514E057A">
        <w:rPr>
          <w:rFonts w:asciiTheme="majorHAnsi" w:hAnsiTheme="majorHAnsi" w:cstheme="majorBidi"/>
          <w:sz w:val="36"/>
          <w:szCs w:val="36"/>
        </w:rPr>
        <w:t>), da cui abbiamo estrapolato i dati relativi alle prime vaccinazioni e scartato invece i dati relativi alle successive vaccinazioni/richiami in quanto dati superflui riguardo la richiesta del cliente.</w:t>
      </w:r>
    </w:p>
    <w:p w14:paraId="04222558" w14:textId="77777777" w:rsidR="003F4CFC" w:rsidRPr="004C63A0" w:rsidRDefault="00AE22EA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Entrambe l</w:t>
      </w:r>
      <w:r w:rsidR="003F4CFC" w:rsidRPr="004C63A0">
        <w:rPr>
          <w:rFonts w:asciiTheme="majorHAnsi" w:hAnsiTheme="majorHAnsi" w:cstheme="majorHAnsi"/>
          <w:sz w:val="36"/>
          <w:szCs w:val="36"/>
        </w:rPr>
        <w:t xml:space="preserve">e fonti dati sono state classificate Tre Stelle </w:t>
      </w:r>
      <w:r w:rsidR="003F4CFC" w:rsidRPr="003C18DD">
        <w:rPr>
          <w:rFonts w:asciiTheme="majorHAnsi" w:eastAsia="Times New Roman" w:hAnsiTheme="majorHAnsi" w:cstheme="majorHAnsi"/>
          <w:color w:val="555555"/>
          <w:sz w:val="36"/>
          <w:szCs w:val="36"/>
          <w:lang w:eastAsia="it-IT"/>
        </w:rPr>
        <w:t>(</w:t>
      </w:r>
      <w:r w:rsidR="003F4CFC" w:rsidRPr="003C18DD">
        <w:rPr>
          <w:rFonts w:ascii="Segoe UI Symbol" w:eastAsia="Times New Roman" w:hAnsi="Segoe UI Symbol" w:cs="Segoe UI Symbol"/>
          <w:color w:val="555555"/>
          <w:sz w:val="36"/>
          <w:szCs w:val="36"/>
          <w:lang w:eastAsia="it-IT"/>
        </w:rPr>
        <w:t>★★★</w:t>
      </w:r>
      <w:r w:rsidR="003F4CFC" w:rsidRPr="003C18DD">
        <w:rPr>
          <w:rFonts w:asciiTheme="majorHAnsi" w:eastAsia="Times New Roman" w:hAnsiTheme="majorHAnsi" w:cstheme="majorHAnsi"/>
          <w:color w:val="555555"/>
          <w:sz w:val="36"/>
          <w:szCs w:val="36"/>
          <w:lang w:eastAsia="it-IT"/>
        </w:rPr>
        <w:t>)</w:t>
      </w:r>
      <w:r w:rsidR="003F4CFC" w:rsidRPr="004C63A0">
        <w:rPr>
          <w:rFonts w:asciiTheme="majorHAnsi" w:eastAsia="Times New Roman" w:hAnsiTheme="majorHAnsi" w:cstheme="majorHAnsi"/>
          <w:color w:val="555555"/>
          <w:sz w:val="36"/>
          <w:szCs w:val="36"/>
          <w:lang w:eastAsia="it-IT"/>
        </w:rPr>
        <w:t xml:space="preserve"> </w:t>
      </w:r>
      <w:r w:rsidR="003F4CFC" w:rsidRPr="004C63A0">
        <w:rPr>
          <w:rFonts w:asciiTheme="majorHAnsi" w:hAnsiTheme="majorHAnsi" w:cstheme="majorHAnsi"/>
          <w:sz w:val="36"/>
          <w:szCs w:val="36"/>
        </w:rPr>
        <w:t>secondo il “Modello 5 Stars” di Tim-Berners Lee, che classifica i dati in base alle loro caratteristiche in una scala da 1 (una stella) a 5 (cinque stelle), le tre stelle indicano la categoria di dati in un formato aperto, in questo caso CSV, da cui è possibile effettuare elaborazione dati senza avere l’obbligo di utilizzare un software proprietario.</w:t>
      </w:r>
    </w:p>
    <w:p w14:paraId="4489735E" w14:textId="77777777" w:rsidR="003F4CFC" w:rsidRDefault="514E057A">
      <w:pPr>
        <w:rPr>
          <w:rFonts w:asciiTheme="majorHAnsi" w:eastAsia="Times New Roman" w:hAnsiTheme="majorHAnsi" w:cstheme="majorHAnsi"/>
          <w:bCs/>
          <w:sz w:val="36"/>
          <w:szCs w:val="36"/>
          <w:lang w:eastAsia="it-IT"/>
        </w:rPr>
      </w:pPr>
      <w:r w:rsidRPr="514E057A">
        <w:rPr>
          <w:rFonts w:asciiTheme="majorHAnsi" w:hAnsiTheme="majorHAnsi" w:cstheme="majorBidi"/>
          <w:sz w:val="36"/>
          <w:szCs w:val="36"/>
        </w:rPr>
        <w:t>In uno dei Dataset in analisi è stata ritrovata anche la seguente classificazione “</w:t>
      </w:r>
      <w:r w:rsidRPr="514E057A">
        <w:rPr>
          <w:rFonts w:asciiTheme="majorHAnsi" w:eastAsia="Times New Roman" w:hAnsiTheme="majorHAnsi" w:cstheme="majorBidi"/>
          <w:b/>
          <w:bCs/>
          <w:sz w:val="36"/>
          <w:szCs w:val="36"/>
          <w:lang w:eastAsia="it-IT"/>
        </w:rPr>
        <w:t xml:space="preserve">CC BY 4.0 DEED”, </w:t>
      </w:r>
      <w:r w:rsidRPr="514E057A">
        <w:rPr>
          <w:rFonts w:asciiTheme="majorHAnsi" w:eastAsia="Times New Roman" w:hAnsiTheme="majorHAnsi" w:cstheme="majorBidi"/>
          <w:sz w:val="36"/>
          <w:szCs w:val="36"/>
          <w:lang w:eastAsia="it-IT"/>
        </w:rPr>
        <w:t>la quale indica la possibilità di condividere, riprodurre, esporre, modificare e trasformare i dati in base alle esigenze dell’utente finale per qualsiasi fine, anche commerciale.</w:t>
      </w:r>
    </w:p>
    <w:p w14:paraId="3149CFEC" w14:textId="77777777" w:rsidR="00987BC3" w:rsidRDefault="514E057A" w:rsidP="514E057A">
      <w:p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 w:rsidRPr="514E057A">
        <w:rPr>
          <w:rFonts w:asciiTheme="majorHAnsi" w:eastAsiaTheme="minorEastAsia" w:hAnsiTheme="majorHAnsi" w:cstheme="majorBidi"/>
          <w:sz w:val="36"/>
          <w:szCs w:val="36"/>
          <w:lang w:eastAsia="it-IT"/>
        </w:rPr>
        <w:lastRenderedPageBreak/>
        <w:t>La tabella è così composta:</w:t>
      </w:r>
    </w:p>
    <w:p w14:paraId="3671B748" w14:textId="36C1C795" w:rsidR="00987BC3" w:rsidRPr="00987BC3" w:rsidRDefault="514E057A" w:rsidP="514E057A">
      <w:pPr>
        <w:pStyle w:val="Paragrafoelenco"/>
        <w:numPr>
          <w:ilvl w:val="0"/>
          <w:numId w:val="2"/>
        </w:num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 w:rsidRPr="514E057A">
        <w:rPr>
          <w:rFonts w:asciiTheme="majorHAnsi" w:eastAsiaTheme="minorEastAsia" w:hAnsiTheme="majorHAnsi" w:cstheme="majorBidi"/>
          <w:sz w:val="36"/>
          <w:szCs w:val="36"/>
          <w:lang w:eastAsia="it-IT"/>
        </w:rPr>
        <w:t>UNIVOCO, prima colonna in cui abbiamo creato la relazione Data-Regioni.</w:t>
      </w:r>
    </w:p>
    <w:p w14:paraId="2E85BC3B" w14:textId="7FEDEB43" w:rsidR="00987BC3" w:rsidRPr="00987BC3" w:rsidRDefault="514E057A" w:rsidP="514E057A">
      <w:pPr>
        <w:pStyle w:val="Paragrafoelenco"/>
        <w:numPr>
          <w:ilvl w:val="0"/>
          <w:numId w:val="2"/>
        </w:num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 w:rsidRPr="514E057A">
        <w:rPr>
          <w:rFonts w:asciiTheme="majorHAnsi" w:eastAsiaTheme="minorEastAsia" w:hAnsiTheme="majorHAnsi" w:cstheme="majorBidi"/>
          <w:sz w:val="36"/>
          <w:szCs w:val="36"/>
          <w:lang w:eastAsia="it-IT"/>
        </w:rPr>
        <w:t>TRIMESTRE in cui abbiamo inserito un filtro dal 2020 al 2023 suddividendo tutto per trimestri.</w:t>
      </w:r>
    </w:p>
    <w:p w14:paraId="6347BC18" w14:textId="2615ADB5" w:rsidR="00987BC3" w:rsidRPr="00987BC3" w:rsidRDefault="514E057A" w:rsidP="514E057A">
      <w:pPr>
        <w:pStyle w:val="Paragrafoelenco"/>
        <w:numPr>
          <w:ilvl w:val="0"/>
          <w:numId w:val="2"/>
        </w:num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 w:rsidRPr="514E057A">
        <w:rPr>
          <w:rFonts w:asciiTheme="majorHAnsi" w:eastAsiaTheme="minorEastAsia" w:hAnsiTheme="majorHAnsi" w:cstheme="majorBidi"/>
          <w:sz w:val="36"/>
          <w:szCs w:val="36"/>
          <w:lang w:eastAsia="it-IT"/>
        </w:rPr>
        <w:t>REGIONE in cui abbiamo la vista di tutte le regioni italiane prese in esame.</w:t>
      </w:r>
    </w:p>
    <w:p w14:paraId="3F9CE00B" w14:textId="29A4618C" w:rsidR="00987BC3" w:rsidRPr="00987BC3" w:rsidRDefault="514E057A" w:rsidP="514E057A">
      <w:pPr>
        <w:pStyle w:val="Paragrafoelenco"/>
        <w:numPr>
          <w:ilvl w:val="0"/>
          <w:numId w:val="2"/>
        </w:num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 w:rsidRPr="514E057A">
        <w:rPr>
          <w:rFonts w:asciiTheme="majorHAnsi" w:eastAsiaTheme="minorEastAsia" w:hAnsiTheme="majorHAnsi" w:cstheme="majorBidi"/>
          <w:sz w:val="36"/>
          <w:szCs w:val="36"/>
          <w:lang w:eastAsia="it-IT"/>
        </w:rPr>
        <w:t>VACCINATI con un elenco giornaliero dei vaccinati per regione.</w:t>
      </w:r>
    </w:p>
    <w:p w14:paraId="2B57E18F" w14:textId="48F18642" w:rsidR="00987BC3" w:rsidRPr="00987BC3" w:rsidRDefault="514E057A" w:rsidP="514E057A">
      <w:pPr>
        <w:pStyle w:val="Paragrafoelenco"/>
        <w:numPr>
          <w:ilvl w:val="0"/>
          <w:numId w:val="2"/>
        </w:num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 w:rsidRPr="514E057A">
        <w:rPr>
          <w:rFonts w:asciiTheme="majorHAnsi" w:eastAsiaTheme="minorEastAsia" w:hAnsiTheme="majorHAnsi" w:cstheme="majorBidi"/>
          <w:sz w:val="36"/>
          <w:szCs w:val="36"/>
          <w:lang w:eastAsia="it-IT"/>
        </w:rPr>
        <w:t>VAR GUARITI con la variazione giornaliera dei guariti.</w:t>
      </w:r>
    </w:p>
    <w:p w14:paraId="64CBE75B" w14:textId="04876367" w:rsidR="00987BC3" w:rsidRPr="00987BC3" w:rsidRDefault="514E057A" w:rsidP="514E057A">
      <w:pPr>
        <w:pStyle w:val="Paragrafoelenco"/>
        <w:numPr>
          <w:ilvl w:val="0"/>
          <w:numId w:val="2"/>
        </w:num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 w:rsidRPr="514E057A">
        <w:rPr>
          <w:rFonts w:asciiTheme="majorHAnsi" w:eastAsiaTheme="minorEastAsia" w:hAnsiTheme="majorHAnsi" w:cstheme="majorBidi"/>
          <w:sz w:val="36"/>
          <w:szCs w:val="36"/>
          <w:lang w:eastAsia="it-IT"/>
        </w:rPr>
        <w:t>VAR DECEDUTI con la variazione giornaliera dei deceduti.</w:t>
      </w:r>
    </w:p>
    <w:p w14:paraId="77410EBE" w14:textId="5AE828CA" w:rsidR="00987BC3" w:rsidRPr="00987BC3" w:rsidRDefault="514E057A" w:rsidP="514E057A">
      <w:pPr>
        <w:pStyle w:val="Paragrafoelenco"/>
        <w:numPr>
          <w:ilvl w:val="0"/>
          <w:numId w:val="2"/>
        </w:num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 w:rsidRPr="514E057A">
        <w:rPr>
          <w:rFonts w:asciiTheme="majorHAnsi" w:eastAsiaTheme="minorEastAsia" w:hAnsiTheme="majorHAnsi" w:cstheme="majorBidi"/>
          <w:sz w:val="36"/>
          <w:szCs w:val="36"/>
          <w:lang w:eastAsia="it-IT"/>
        </w:rPr>
        <w:t>VACCINATI/DECEDUTI in cui è stata calcolata la percentuale tra vaccinati e deceduti.</w:t>
      </w:r>
    </w:p>
    <w:p w14:paraId="6E2F23A8" w14:textId="3B2D1A29" w:rsidR="004C63A0" w:rsidRPr="009E3DDE" w:rsidRDefault="514E057A">
      <w:p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 w:rsidRPr="009E3DDE">
        <w:rPr>
          <w:rFonts w:asciiTheme="majorHAnsi" w:eastAsia="Times New Roman" w:hAnsiTheme="majorHAnsi" w:cstheme="majorBidi"/>
          <w:sz w:val="36"/>
          <w:szCs w:val="36"/>
          <w:lang w:eastAsia="it-IT"/>
        </w:rPr>
        <w:t>La chiave primaria per le tabelle è Data-Regione, che abbiamo utilizzato per analizzare con precisione regionale in base alla data in modo da far corrispondere tutti i dati di ogni richiesta del cliente.</w:t>
      </w:r>
    </w:p>
    <w:p w14:paraId="366EE5BC" w14:textId="77777777" w:rsidR="003F4CFC" w:rsidRPr="009E3DDE" w:rsidRDefault="00AE22EA">
      <w:p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 w:rsidRPr="009E3DDE">
        <w:rPr>
          <w:rFonts w:asciiTheme="majorHAnsi" w:eastAsia="Times New Roman" w:hAnsiTheme="majorHAnsi" w:cstheme="majorBidi"/>
          <w:sz w:val="36"/>
          <w:szCs w:val="36"/>
          <w:lang w:eastAsia="it-IT"/>
        </w:rPr>
        <w:t>I metadati identificabili in ques</w:t>
      </w:r>
      <w:r w:rsidR="009F51C5" w:rsidRPr="009E3DDE">
        <w:rPr>
          <w:rFonts w:asciiTheme="majorHAnsi" w:eastAsia="Times New Roman" w:hAnsiTheme="majorHAnsi" w:cstheme="majorBidi"/>
          <w:sz w:val="36"/>
          <w:szCs w:val="36"/>
          <w:lang w:eastAsia="it-IT"/>
        </w:rPr>
        <w:t>t</w:t>
      </w:r>
      <w:r w:rsidRPr="009E3DDE">
        <w:rPr>
          <w:rFonts w:asciiTheme="majorHAnsi" w:eastAsia="Times New Roman" w:hAnsiTheme="majorHAnsi" w:cstheme="majorBidi"/>
          <w:sz w:val="36"/>
          <w:szCs w:val="36"/>
          <w:lang w:eastAsia="it-IT"/>
        </w:rPr>
        <w:t>a esercitazione sono:</w:t>
      </w:r>
    </w:p>
    <w:p w14:paraId="6AE3F39A" w14:textId="77777777" w:rsidR="00AE22EA" w:rsidRPr="009E3DDE" w:rsidRDefault="00AE22EA" w:rsidP="009F51C5">
      <w:pPr>
        <w:pStyle w:val="Paragrafoelenco"/>
        <w:numPr>
          <w:ilvl w:val="0"/>
          <w:numId w:val="3"/>
        </w:num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 w:rsidRPr="009E3DDE">
        <w:rPr>
          <w:rFonts w:asciiTheme="majorHAnsi" w:eastAsia="Times New Roman" w:hAnsiTheme="majorHAnsi" w:cstheme="majorBidi"/>
          <w:sz w:val="36"/>
          <w:szCs w:val="36"/>
          <w:lang w:eastAsia="it-IT"/>
        </w:rPr>
        <w:t>Data e Ora;</w:t>
      </w:r>
    </w:p>
    <w:p w14:paraId="33E5B33C" w14:textId="77777777" w:rsidR="00AE22EA" w:rsidRPr="009E3DDE" w:rsidRDefault="00AE22EA" w:rsidP="009F51C5">
      <w:pPr>
        <w:pStyle w:val="Paragrafoelenco"/>
        <w:numPr>
          <w:ilvl w:val="0"/>
          <w:numId w:val="3"/>
        </w:num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 w:rsidRPr="009E3DDE">
        <w:rPr>
          <w:rFonts w:asciiTheme="majorHAnsi" w:eastAsia="Times New Roman" w:hAnsiTheme="majorHAnsi" w:cstheme="majorBidi"/>
          <w:sz w:val="36"/>
          <w:szCs w:val="36"/>
          <w:lang w:eastAsia="it-IT"/>
        </w:rPr>
        <w:t>Luogo;</w:t>
      </w:r>
    </w:p>
    <w:p w14:paraId="76429925" w14:textId="77777777" w:rsidR="009F51C5" w:rsidRPr="009E3DDE" w:rsidRDefault="009F51C5" w:rsidP="009F51C5">
      <w:pPr>
        <w:pStyle w:val="Paragrafoelenco"/>
        <w:numPr>
          <w:ilvl w:val="0"/>
          <w:numId w:val="3"/>
        </w:num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 w:rsidRPr="009E3DDE">
        <w:rPr>
          <w:rFonts w:asciiTheme="majorHAnsi" w:eastAsia="Times New Roman" w:hAnsiTheme="majorHAnsi" w:cstheme="majorBidi"/>
          <w:sz w:val="36"/>
          <w:szCs w:val="36"/>
          <w:lang w:eastAsia="it-IT"/>
        </w:rPr>
        <w:t>Tipo Di Dati;</w:t>
      </w:r>
    </w:p>
    <w:p w14:paraId="6792CF7E" w14:textId="77777777" w:rsidR="009F51C5" w:rsidRPr="009E3DDE" w:rsidRDefault="009F51C5" w:rsidP="009F51C5">
      <w:pPr>
        <w:pStyle w:val="Paragrafoelenco"/>
        <w:numPr>
          <w:ilvl w:val="0"/>
          <w:numId w:val="3"/>
        </w:num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 w:rsidRPr="009E3DDE">
        <w:rPr>
          <w:rFonts w:asciiTheme="majorHAnsi" w:eastAsia="Times New Roman" w:hAnsiTheme="majorHAnsi" w:cstheme="majorBidi"/>
          <w:sz w:val="36"/>
          <w:szCs w:val="36"/>
          <w:lang w:eastAsia="it-IT"/>
        </w:rPr>
        <w:t>Fonte Dei Dati;</w:t>
      </w:r>
    </w:p>
    <w:p w14:paraId="3EAE7331" w14:textId="77777777" w:rsidR="009F51C5" w:rsidRPr="009E3DDE" w:rsidRDefault="009F51C5" w:rsidP="009F51C5">
      <w:pPr>
        <w:pStyle w:val="Paragrafoelenco"/>
        <w:numPr>
          <w:ilvl w:val="0"/>
          <w:numId w:val="3"/>
        </w:num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 w:rsidRPr="009E3DDE">
        <w:rPr>
          <w:rFonts w:asciiTheme="majorHAnsi" w:eastAsia="Times New Roman" w:hAnsiTheme="majorHAnsi" w:cstheme="majorBidi"/>
          <w:sz w:val="36"/>
          <w:szCs w:val="36"/>
          <w:lang w:eastAsia="it-IT"/>
        </w:rPr>
        <w:t>Precisione e Attendibilità;</w:t>
      </w:r>
    </w:p>
    <w:p w14:paraId="414E2614" w14:textId="77777777" w:rsidR="009F51C5" w:rsidRPr="009E3DDE" w:rsidRDefault="009F51C5" w:rsidP="009F51C5">
      <w:pPr>
        <w:pStyle w:val="Paragrafoelenco"/>
        <w:numPr>
          <w:ilvl w:val="0"/>
          <w:numId w:val="3"/>
        </w:num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 w:rsidRPr="009E3DDE">
        <w:rPr>
          <w:rFonts w:asciiTheme="majorHAnsi" w:eastAsia="Times New Roman" w:hAnsiTheme="majorHAnsi" w:cstheme="majorBidi"/>
          <w:sz w:val="36"/>
          <w:szCs w:val="36"/>
          <w:lang w:eastAsia="it-IT"/>
        </w:rPr>
        <w:t>Privacy Dei Dati;</w:t>
      </w:r>
    </w:p>
    <w:p w14:paraId="14EB3FD1" w14:textId="77777777" w:rsidR="009F51C5" w:rsidRPr="009E3DDE" w:rsidRDefault="009F51C5" w:rsidP="009F51C5">
      <w:pPr>
        <w:pStyle w:val="Paragrafoelenco"/>
        <w:numPr>
          <w:ilvl w:val="0"/>
          <w:numId w:val="3"/>
        </w:num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 w:rsidRPr="009E3DDE">
        <w:rPr>
          <w:rFonts w:asciiTheme="majorHAnsi" w:eastAsia="Times New Roman" w:hAnsiTheme="majorHAnsi" w:cstheme="majorBidi"/>
          <w:sz w:val="36"/>
          <w:szCs w:val="36"/>
          <w:lang w:eastAsia="it-IT"/>
        </w:rPr>
        <w:t>Aggiornamento Dei Dati e Versione;</w:t>
      </w:r>
    </w:p>
    <w:p w14:paraId="3DEEC669" w14:textId="6C27DF28" w:rsidR="003C18DD" w:rsidRDefault="009F51C5" w:rsidP="009E3DDE">
      <w:pPr>
        <w:pStyle w:val="Paragrafoelenco"/>
        <w:numPr>
          <w:ilvl w:val="0"/>
          <w:numId w:val="3"/>
        </w:num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 w:rsidRPr="009E3DDE">
        <w:rPr>
          <w:rFonts w:asciiTheme="majorHAnsi" w:eastAsia="Times New Roman" w:hAnsiTheme="majorHAnsi" w:cstheme="majorBidi"/>
          <w:sz w:val="36"/>
          <w:szCs w:val="36"/>
          <w:lang w:eastAsia="it-IT"/>
        </w:rPr>
        <w:t>Licenza Ed Uso Dei Dati;</w:t>
      </w:r>
    </w:p>
    <w:p w14:paraId="0AFF25A5" w14:textId="69D60C10" w:rsidR="00564E40" w:rsidRDefault="00564E40" w:rsidP="00564E40">
      <w:p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>
        <w:rPr>
          <w:rFonts w:asciiTheme="majorHAnsi" w:eastAsia="Times New Roman" w:hAnsiTheme="majorHAnsi" w:cstheme="majorBidi"/>
          <w:sz w:val="36"/>
          <w:szCs w:val="36"/>
          <w:lang w:eastAsia="it-IT"/>
        </w:rPr>
        <w:t>Relazione al Cliente:</w:t>
      </w:r>
    </w:p>
    <w:p w14:paraId="4CC3447A" w14:textId="728E7701" w:rsidR="00564E40" w:rsidRDefault="00564E40" w:rsidP="00564E40">
      <w:p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>
        <w:rPr>
          <w:rFonts w:asciiTheme="majorHAnsi" w:eastAsia="Times New Roman" w:hAnsiTheme="majorHAnsi" w:cstheme="majorBidi"/>
          <w:sz w:val="36"/>
          <w:szCs w:val="36"/>
          <w:lang w:eastAsia="it-IT"/>
        </w:rPr>
        <w:lastRenderedPageBreak/>
        <w:t xml:space="preserve">In base ai dati si misura una riduzione </w:t>
      </w:r>
      <w:r w:rsidR="002D2F40">
        <w:rPr>
          <w:rFonts w:asciiTheme="majorHAnsi" w:eastAsia="Times New Roman" w:hAnsiTheme="majorHAnsi" w:cstheme="majorBidi"/>
          <w:sz w:val="36"/>
          <w:szCs w:val="36"/>
          <w:lang w:eastAsia="it-IT"/>
        </w:rPr>
        <w:t>dei vaccini e nel contesto nazionale, così come una netta riduzione della sorveglianza pubblica a riguardo.</w:t>
      </w:r>
    </w:p>
    <w:p w14:paraId="47755530" w14:textId="07FB004B" w:rsidR="002D2F40" w:rsidRDefault="001F0F77" w:rsidP="00564E40">
      <w:p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>
        <w:rPr>
          <w:rFonts w:asciiTheme="majorHAnsi" w:eastAsia="Times New Roman" w:hAnsiTheme="majorHAnsi" w:cstheme="majorBidi"/>
          <w:sz w:val="36"/>
          <w:szCs w:val="36"/>
          <w:lang w:eastAsia="it-IT"/>
        </w:rPr>
        <w:t>Come riportato in precedenza, con il termine del 2023 non sono da considerare dati affidabili quelli del 2024 in quanto non integrano tutte le regioni</w:t>
      </w:r>
      <w:r w:rsidR="00DB6D41">
        <w:rPr>
          <w:rFonts w:asciiTheme="majorHAnsi" w:eastAsia="Times New Roman" w:hAnsiTheme="majorHAnsi" w:cstheme="majorBidi"/>
          <w:sz w:val="36"/>
          <w:szCs w:val="36"/>
          <w:lang w:eastAsia="it-IT"/>
        </w:rPr>
        <w:t>.</w:t>
      </w:r>
    </w:p>
    <w:p w14:paraId="14EF4AFA" w14:textId="6C0AD295" w:rsidR="00DB6D41" w:rsidRDefault="00264A18" w:rsidP="00564E40">
      <w:p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>
        <w:rPr>
          <w:rFonts w:asciiTheme="majorHAnsi" w:eastAsia="Times New Roman" w:hAnsiTheme="majorHAnsi" w:cstheme="majorBidi"/>
          <w:sz w:val="36"/>
          <w:szCs w:val="36"/>
          <w:lang w:eastAsia="it-IT"/>
        </w:rPr>
        <w:t>A</w:t>
      </w:r>
      <w:r w:rsidR="00FA3692">
        <w:rPr>
          <w:rFonts w:asciiTheme="majorHAnsi" w:eastAsia="Times New Roman" w:hAnsiTheme="majorHAnsi" w:cstheme="majorBidi"/>
          <w:sz w:val="36"/>
          <w:szCs w:val="36"/>
          <w:lang w:eastAsia="it-IT"/>
        </w:rPr>
        <w:t xml:space="preserve"> differenza dei dati riportati in cui era presente una campagna vaccinale “obbligatoria” per la quale tutta la popolazione o quasi è stata chiamata ad effettuare almeno la prima dose, al momento non vi è una restrizione di tale portata e risulta presente una campagna “influenzale” in cui si può richiedere la somministrazione di una vaccino contro le varianti registrate </w:t>
      </w:r>
      <w:proofErr w:type="gramStart"/>
      <w:r w:rsidR="00FA3692">
        <w:rPr>
          <w:rFonts w:asciiTheme="majorHAnsi" w:eastAsia="Times New Roman" w:hAnsiTheme="majorHAnsi" w:cstheme="majorBidi"/>
          <w:sz w:val="36"/>
          <w:szCs w:val="36"/>
          <w:lang w:eastAsia="it-IT"/>
        </w:rPr>
        <w:t xml:space="preserve">( </w:t>
      </w:r>
      <w:r w:rsidR="00A42554" w:rsidRPr="00A42554">
        <w:rPr>
          <w:rFonts w:asciiTheme="majorHAnsi" w:eastAsia="Times New Roman" w:hAnsiTheme="majorHAnsi" w:cstheme="majorBidi"/>
          <w:sz w:val="36"/>
          <w:szCs w:val="36"/>
          <w:lang w:eastAsia="it-IT"/>
        </w:rPr>
        <w:t>Omicron</w:t>
      </w:r>
      <w:proofErr w:type="gramEnd"/>
      <w:r w:rsidR="00A42554" w:rsidRPr="00A42554">
        <w:rPr>
          <w:rFonts w:asciiTheme="majorHAnsi" w:eastAsia="Times New Roman" w:hAnsiTheme="majorHAnsi" w:cstheme="majorBidi"/>
          <w:sz w:val="36"/>
          <w:szCs w:val="36"/>
          <w:lang w:eastAsia="it-IT"/>
        </w:rPr>
        <w:t xml:space="preserve"> XBB.1.5</w:t>
      </w:r>
      <w:r w:rsidR="00A42554">
        <w:rPr>
          <w:rFonts w:asciiTheme="majorHAnsi" w:eastAsia="Times New Roman" w:hAnsiTheme="majorHAnsi" w:cstheme="majorBidi"/>
          <w:sz w:val="36"/>
          <w:szCs w:val="36"/>
          <w:lang w:eastAsia="it-IT"/>
        </w:rPr>
        <w:t>).</w:t>
      </w:r>
    </w:p>
    <w:p w14:paraId="1764D512" w14:textId="7EFCCB1E" w:rsidR="00A42554" w:rsidRDefault="00A42554" w:rsidP="00564E40">
      <w:p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>
        <w:rPr>
          <w:rFonts w:asciiTheme="majorHAnsi" w:eastAsia="Times New Roman" w:hAnsiTheme="majorHAnsi" w:cstheme="majorBidi"/>
          <w:sz w:val="36"/>
          <w:szCs w:val="36"/>
          <w:lang w:eastAsia="it-IT"/>
        </w:rPr>
        <w:t xml:space="preserve">I dati non sembrano </w:t>
      </w:r>
      <w:r w:rsidR="007430FF">
        <w:rPr>
          <w:rFonts w:asciiTheme="majorHAnsi" w:eastAsia="Times New Roman" w:hAnsiTheme="majorHAnsi" w:cstheme="majorBidi"/>
          <w:sz w:val="36"/>
          <w:szCs w:val="36"/>
          <w:lang w:eastAsia="it-IT"/>
        </w:rPr>
        <w:t>testimoniare</w:t>
      </w:r>
      <w:r>
        <w:rPr>
          <w:rFonts w:asciiTheme="majorHAnsi" w:eastAsia="Times New Roman" w:hAnsiTheme="majorHAnsi" w:cstheme="majorBidi"/>
          <w:sz w:val="36"/>
          <w:szCs w:val="36"/>
          <w:lang w:eastAsia="it-IT"/>
        </w:rPr>
        <w:t xml:space="preserve"> la scelta univoca di produrre un vaccino, quanto </w:t>
      </w:r>
      <w:r w:rsidR="007430FF">
        <w:rPr>
          <w:rFonts w:asciiTheme="majorHAnsi" w:eastAsia="Times New Roman" w:hAnsiTheme="majorHAnsi" w:cstheme="majorBidi"/>
          <w:sz w:val="36"/>
          <w:szCs w:val="36"/>
          <w:lang w:eastAsia="it-IT"/>
        </w:rPr>
        <w:t>più</w:t>
      </w:r>
      <w:r w:rsidR="00550310">
        <w:rPr>
          <w:rFonts w:asciiTheme="majorHAnsi" w:eastAsia="Times New Roman" w:hAnsiTheme="majorHAnsi" w:cstheme="majorBidi"/>
          <w:sz w:val="36"/>
          <w:szCs w:val="36"/>
          <w:lang w:eastAsia="it-IT"/>
        </w:rPr>
        <w:t xml:space="preserve"> che altro di indagare sulla </w:t>
      </w:r>
      <w:r w:rsidR="007430FF">
        <w:rPr>
          <w:rFonts w:asciiTheme="majorHAnsi" w:eastAsia="Times New Roman" w:hAnsiTheme="majorHAnsi" w:cstheme="majorBidi"/>
          <w:sz w:val="36"/>
          <w:szCs w:val="36"/>
          <w:lang w:eastAsia="it-IT"/>
        </w:rPr>
        <w:t>possibile</w:t>
      </w:r>
      <w:r w:rsidR="00550310">
        <w:rPr>
          <w:rFonts w:asciiTheme="majorHAnsi" w:eastAsia="Times New Roman" w:hAnsiTheme="majorHAnsi" w:cstheme="majorBidi"/>
          <w:sz w:val="36"/>
          <w:szCs w:val="36"/>
          <w:lang w:eastAsia="it-IT"/>
        </w:rPr>
        <w:t xml:space="preserve"> vendita </w:t>
      </w:r>
      <w:r w:rsidR="0087377C">
        <w:rPr>
          <w:rFonts w:asciiTheme="majorHAnsi" w:eastAsia="Times New Roman" w:hAnsiTheme="majorHAnsi" w:cstheme="majorBidi"/>
          <w:sz w:val="36"/>
          <w:szCs w:val="36"/>
          <w:lang w:eastAsia="it-IT"/>
        </w:rPr>
        <w:t xml:space="preserve">di </w:t>
      </w:r>
      <w:r w:rsidR="00550310">
        <w:rPr>
          <w:rFonts w:asciiTheme="majorHAnsi" w:eastAsia="Times New Roman" w:hAnsiTheme="majorHAnsi" w:cstheme="majorBidi"/>
          <w:sz w:val="36"/>
          <w:szCs w:val="36"/>
          <w:lang w:eastAsia="it-IT"/>
        </w:rPr>
        <w:t>una variante nelle campagne vaccinali per fasce deboli nei periodi autunn</w:t>
      </w:r>
      <w:r w:rsidR="007430FF">
        <w:rPr>
          <w:rFonts w:asciiTheme="majorHAnsi" w:eastAsia="Times New Roman" w:hAnsiTheme="majorHAnsi" w:cstheme="majorBidi"/>
          <w:sz w:val="36"/>
          <w:szCs w:val="36"/>
          <w:lang w:eastAsia="it-IT"/>
        </w:rPr>
        <w:t>o/inverno.</w:t>
      </w:r>
    </w:p>
    <w:p w14:paraId="2591574E" w14:textId="3465E226" w:rsidR="007430FF" w:rsidRDefault="007430FF" w:rsidP="00564E40">
      <w:p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>
        <w:rPr>
          <w:rFonts w:asciiTheme="majorHAnsi" w:eastAsia="Times New Roman" w:hAnsiTheme="majorHAnsi" w:cstheme="majorBidi"/>
          <w:sz w:val="36"/>
          <w:szCs w:val="36"/>
          <w:lang w:eastAsia="it-IT"/>
        </w:rPr>
        <w:t xml:space="preserve">Come da </w:t>
      </w:r>
      <w:r w:rsidR="007B5410">
        <w:rPr>
          <w:rFonts w:asciiTheme="majorHAnsi" w:eastAsia="Times New Roman" w:hAnsiTheme="majorHAnsi" w:cstheme="majorBidi"/>
          <w:sz w:val="36"/>
          <w:szCs w:val="36"/>
          <w:lang w:eastAsia="it-IT"/>
        </w:rPr>
        <w:t xml:space="preserve">riferimento del ministero della salute, al </w:t>
      </w:r>
      <w:hyperlink r:id="rId7" w:history="1">
        <w:r w:rsidR="007B5410" w:rsidRPr="007B5410">
          <w:rPr>
            <w:rStyle w:val="Collegamentoipertestuale"/>
            <w:rFonts w:asciiTheme="majorHAnsi" w:eastAsia="Times New Roman" w:hAnsiTheme="majorHAnsi" w:cstheme="majorBidi"/>
            <w:sz w:val="36"/>
            <w:szCs w:val="36"/>
            <w:lang w:eastAsia="it-IT"/>
          </w:rPr>
          <w:t>link</w:t>
        </w:r>
      </w:hyperlink>
      <w:r w:rsidR="007B5410">
        <w:rPr>
          <w:rFonts w:asciiTheme="majorHAnsi" w:eastAsia="Times New Roman" w:hAnsiTheme="majorHAnsi" w:cstheme="majorBidi"/>
          <w:sz w:val="36"/>
          <w:szCs w:val="36"/>
          <w:lang w:eastAsia="it-IT"/>
        </w:rPr>
        <w:t>, viene suggerito come target:</w:t>
      </w:r>
    </w:p>
    <w:p w14:paraId="2B1824C6" w14:textId="77777777" w:rsidR="007430FF" w:rsidRPr="007430FF" w:rsidRDefault="007430FF" w:rsidP="007430FF">
      <w:pPr>
        <w:shd w:val="clear" w:color="auto" w:fill="FFFFFF"/>
        <w:spacing w:after="188" w:line="240" w:lineRule="auto"/>
        <w:rPr>
          <w:rFonts w:ascii="Titillium Web" w:eastAsia="Times New Roman" w:hAnsi="Titillium Web" w:cs="Times New Roman"/>
          <w:color w:val="1C2024"/>
          <w:sz w:val="27"/>
          <w:szCs w:val="27"/>
          <w:lang w:eastAsia="it-IT"/>
        </w:rPr>
      </w:pPr>
      <w:r w:rsidRPr="007430FF">
        <w:rPr>
          <w:rFonts w:ascii="Titillium Web" w:eastAsia="Times New Roman" w:hAnsi="Titillium Web" w:cs="Times New Roman"/>
          <w:color w:val="1C2024"/>
          <w:sz w:val="27"/>
          <w:szCs w:val="27"/>
          <w:lang w:eastAsia="it-IT"/>
        </w:rPr>
        <w:t>Una dose di </w:t>
      </w:r>
      <w:r w:rsidRPr="007430FF">
        <w:rPr>
          <w:rFonts w:ascii="Titillium Web" w:eastAsia="Times New Roman" w:hAnsi="Titillium Web" w:cs="Times New Roman"/>
          <w:b/>
          <w:bCs/>
          <w:color w:val="1C2024"/>
          <w:sz w:val="27"/>
          <w:szCs w:val="27"/>
          <w:lang w:eastAsia="it-IT"/>
        </w:rPr>
        <w:t>richiamo</w:t>
      </w:r>
      <w:r w:rsidRPr="007430FF">
        <w:rPr>
          <w:rFonts w:ascii="Titillium Web" w:eastAsia="Times New Roman" w:hAnsi="Titillium Web" w:cs="Times New Roman"/>
          <w:color w:val="1C2024"/>
          <w:sz w:val="27"/>
          <w:szCs w:val="27"/>
          <w:lang w:eastAsia="it-IT"/>
        </w:rPr>
        <w:t> del vaccino adattato è offerta attivamente alle categorie a maggior rischio:</w:t>
      </w:r>
    </w:p>
    <w:p w14:paraId="584787B6" w14:textId="77777777" w:rsidR="007430FF" w:rsidRPr="007430FF" w:rsidRDefault="007430FF" w:rsidP="007430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tillium Web" w:eastAsia="Times New Roman" w:hAnsi="Titillium Web" w:cs="Times New Roman"/>
          <w:color w:val="1C2024"/>
          <w:sz w:val="27"/>
          <w:szCs w:val="27"/>
          <w:lang w:eastAsia="it-IT"/>
        </w:rPr>
      </w:pPr>
      <w:r w:rsidRPr="007430FF">
        <w:rPr>
          <w:rFonts w:ascii="Titillium Web" w:eastAsia="Times New Roman" w:hAnsi="Titillium Web" w:cs="Times New Roman"/>
          <w:color w:val="1C2024"/>
          <w:sz w:val="27"/>
          <w:szCs w:val="27"/>
          <w:lang w:eastAsia="it-IT"/>
        </w:rPr>
        <w:t>Persone di età pari o superiore a 60 anni</w:t>
      </w:r>
    </w:p>
    <w:p w14:paraId="4B2E2B68" w14:textId="77777777" w:rsidR="007430FF" w:rsidRPr="007430FF" w:rsidRDefault="007430FF" w:rsidP="007430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tillium Web" w:eastAsia="Times New Roman" w:hAnsi="Titillium Web" w:cs="Times New Roman"/>
          <w:color w:val="1C2024"/>
          <w:sz w:val="27"/>
          <w:szCs w:val="27"/>
          <w:lang w:eastAsia="it-IT"/>
        </w:rPr>
      </w:pPr>
      <w:r w:rsidRPr="007430FF">
        <w:rPr>
          <w:rFonts w:ascii="Titillium Web" w:eastAsia="Times New Roman" w:hAnsi="Titillium Web" w:cs="Times New Roman"/>
          <w:color w:val="1C2024"/>
          <w:sz w:val="27"/>
          <w:szCs w:val="27"/>
          <w:lang w:eastAsia="it-IT"/>
        </w:rPr>
        <w:t>Ospiti delle strutture per lungodegenti</w:t>
      </w:r>
    </w:p>
    <w:p w14:paraId="454409E6" w14:textId="77777777" w:rsidR="007430FF" w:rsidRPr="007430FF" w:rsidRDefault="007430FF" w:rsidP="007430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tillium Web" w:eastAsia="Times New Roman" w:hAnsi="Titillium Web" w:cs="Times New Roman"/>
          <w:color w:val="1C2024"/>
          <w:sz w:val="27"/>
          <w:szCs w:val="27"/>
          <w:lang w:eastAsia="it-IT"/>
        </w:rPr>
      </w:pPr>
      <w:r w:rsidRPr="007430FF">
        <w:rPr>
          <w:rFonts w:ascii="Titillium Web" w:eastAsia="Times New Roman" w:hAnsi="Titillium Web" w:cs="Times New Roman"/>
          <w:color w:val="1C2024"/>
          <w:sz w:val="27"/>
          <w:szCs w:val="27"/>
          <w:lang w:eastAsia="it-IT"/>
        </w:rPr>
        <w:t>Donne che si trovano in qualsiasi trimestre della gravidanza o nel periodo “postpartum” comprese le donne in allattamento</w:t>
      </w:r>
    </w:p>
    <w:p w14:paraId="5E3CA394" w14:textId="77777777" w:rsidR="007430FF" w:rsidRPr="007430FF" w:rsidRDefault="007430FF" w:rsidP="007430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tillium Web" w:eastAsia="Times New Roman" w:hAnsi="Titillium Web" w:cs="Times New Roman"/>
          <w:color w:val="1C2024"/>
          <w:sz w:val="27"/>
          <w:szCs w:val="27"/>
          <w:lang w:eastAsia="it-IT"/>
        </w:rPr>
      </w:pPr>
      <w:r w:rsidRPr="007430FF">
        <w:rPr>
          <w:rFonts w:ascii="Titillium Web" w:eastAsia="Times New Roman" w:hAnsi="Titillium Web" w:cs="Times New Roman"/>
          <w:color w:val="1C2024"/>
          <w:sz w:val="27"/>
          <w:szCs w:val="27"/>
          <w:lang w:eastAsia="it-IT"/>
        </w:rPr>
        <w:t>Operatori sanitari e sociosanitari addetti all’assistenza negli ospedali, nel territorio e nelle strutture di lungodegenza; studenti di medicina, delle professioni sanitarie che effettuano tirocini in strutture assistenziali e tutto il personale sanitario e sociosanitario in formazione</w:t>
      </w:r>
    </w:p>
    <w:p w14:paraId="575C5B9A" w14:textId="77777777" w:rsidR="007430FF" w:rsidRDefault="007430FF" w:rsidP="007430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tillium Web" w:eastAsia="Times New Roman" w:hAnsi="Titillium Web" w:cs="Times New Roman"/>
          <w:color w:val="1C2024"/>
          <w:sz w:val="27"/>
          <w:szCs w:val="27"/>
          <w:lang w:eastAsia="it-IT"/>
        </w:rPr>
      </w:pPr>
      <w:r w:rsidRPr="007430FF">
        <w:rPr>
          <w:rFonts w:ascii="Titillium Web" w:eastAsia="Times New Roman" w:hAnsi="Titillium Web" w:cs="Times New Roman"/>
          <w:color w:val="1C2024"/>
          <w:sz w:val="27"/>
          <w:szCs w:val="27"/>
          <w:lang w:eastAsia="it-IT"/>
        </w:rPr>
        <w:lastRenderedPageBreak/>
        <w:t>Persone dai 6 mesi ai 59 anni di età compresi, con elevata fragilità, in quanto affette da patologie o con condizioni che aumentano il rischio di COVID-19 grave. </w:t>
      </w:r>
    </w:p>
    <w:p w14:paraId="04CFFC3B" w14:textId="0C8A0F0C" w:rsidR="006A3092" w:rsidRDefault="006A3092" w:rsidP="006A3092">
      <w:pPr>
        <w:shd w:val="clear" w:color="auto" w:fill="FFFFFF"/>
        <w:spacing w:before="100" w:beforeAutospacing="1" w:after="100" w:afterAutospacing="1" w:line="240" w:lineRule="auto"/>
        <w:rPr>
          <w:rFonts w:ascii="Titillium Web" w:eastAsia="Times New Roman" w:hAnsi="Titillium Web" w:cs="Times New Roman"/>
          <w:color w:val="1C2024"/>
          <w:sz w:val="27"/>
          <w:szCs w:val="27"/>
          <w:lang w:eastAsia="it-IT"/>
        </w:rPr>
      </w:pPr>
      <w:r>
        <w:rPr>
          <w:rFonts w:ascii="Titillium Web" w:eastAsia="Times New Roman" w:hAnsi="Titillium Web" w:cs="Times New Roman"/>
          <w:color w:val="1C2024"/>
          <w:sz w:val="27"/>
          <w:szCs w:val="27"/>
          <w:lang w:eastAsia="it-IT"/>
        </w:rPr>
        <w:t xml:space="preserve">Tenendo conto dei dati a campagna ultimata per la variante </w:t>
      </w:r>
      <w:proofErr w:type="spellStart"/>
      <w:r w:rsidR="009254FD">
        <w:rPr>
          <w:rFonts w:ascii="Titillium Web" w:eastAsia="Times New Roman" w:hAnsi="Titillium Web" w:cs="Times New Roman"/>
          <w:color w:val="1C2024"/>
          <w:sz w:val="27"/>
          <w:szCs w:val="27"/>
          <w:lang w:eastAsia="it-IT"/>
        </w:rPr>
        <w:t>piu’</w:t>
      </w:r>
      <w:proofErr w:type="spellEnd"/>
      <w:r w:rsidR="009254FD">
        <w:rPr>
          <w:rFonts w:ascii="Titillium Web" w:eastAsia="Times New Roman" w:hAnsi="Titillium Web" w:cs="Times New Roman"/>
          <w:color w:val="1C2024"/>
          <w:sz w:val="27"/>
          <w:szCs w:val="27"/>
          <w:lang w:eastAsia="it-IT"/>
        </w:rPr>
        <w:t xml:space="preserve"> recente:</w:t>
      </w:r>
    </w:p>
    <w:p w14:paraId="283D6091" w14:textId="02194F3B" w:rsidR="007B5410" w:rsidRPr="007430FF" w:rsidRDefault="006A3092" w:rsidP="007B5410">
      <w:pPr>
        <w:shd w:val="clear" w:color="auto" w:fill="FFFFFF"/>
        <w:spacing w:before="100" w:beforeAutospacing="1" w:after="100" w:afterAutospacing="1" w:line="240" w:lineRule="auto"/>
        <w:rPr>
          <w:rFonts w:ascii="Titillium Web" w:eastAsia="Times New Roman" w:hAnsi="Titillium Web" w:cs="Times New Roman"/>
          <w:color w:val="1C2024"/>
          <w:sz w:val="27"/>
          <w:szCs w:val="27"/>
          <w:lang w:eastAsia="it-IT"/>
        </w:rPr>
      </w:pPr>
      <w:r w:rsidRPr="006A3092">
        <w:rPr>
          <w:rFonts w:ascii="Titillium Web" w:eastAsia="Times New Roman" w:hAnsi="Titillium Web" w:cs="Times New Roman"/>
          <w:noProof/>
          <w:color w:val="1C2024"/>
          <w:sz w:val="27"/>
          <w:szCs w:val="27"/>
          <w:lang w:eastAsia="it-IT"/>
        </w:rPr>
        <w:drawing>
          <wp:inline distT="0" distB="0" distL="0" distR="0" wp14:anchorId="20013239" wp14:editId="7F4E57DD">
            <wp:extent cx="6120130" cy="4253865"/>
            <wp:effectExtent l="0" t="0" r="0" b="0"/>
            <wp:docPr id="846256636" name="Immagine 1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56636" name="Immagine 1" descr="Immagine che contiene testo, schermat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A0E8" w14:textId="22A54F53" w:rsidR="007430FF" w:rsidRDefault="009254FD" w:rsidP="00564E40">
      <w:p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>
        <w:rPr>
          <w:rFonts w:asciiTheme="majorHAnsi" w:eastAsia="Times New Roman" w:hAnsiTheme="majorHAnsi" w:cstheme="majorBidi"/>
          <w:sz w:val="36"/>
          <w:szCs w:val="36"/>
          <w:lang w:eastAsia="it-IT"/>
        </w:rPr>
        <w:t>I numeri non sono completamente da trascurare ma richiede un’analisi aggiuntiva</w:t>
      </w:r>
      <w:r w:rsidR="00BB3623">
        <w:rPr>
          <w:rFonts w:asciiTheme="majorHAnsi" w:eastAsia="Times New Roman" w:hAnsiTheme="majorHAnsi" w:cstheme="majorBidi"/>
          <w:sz w:val="36"/>
          <w:szCs w:val="36"/>
          <w:lang w:eastAsia="it-IT"/>
        </w:rPr>
        <w:t xml:space="preserve">. Se inizialmente i dati erano relativi a qualsiasi fascia di età o condizione, in questo </w:t>
      </w:r>
      <w:r w:rsidR="00473C0E">
        <w:rPr>
          <w:rFonts w:asciiTheme="majorHAnsi" w:eastAsia="Times New Roman" w:hAnsiTheme="majorHAnsi" w:cstheme="majorBidi"/>
          <w:sz w:val="36"/>
          <w:szCs w:val="36"/>
          <w:lang w:eastAsia="it-IT"/>
        </w:rPr>
        <w:t xml:space="preserve">caso occorre concentrarsi su una fascia ben delimitata di </w:t>
      </w:r>
      <w:r w:rsidR="00325C52">
        <w:rPr>
          <w:rFonts w:asciiTheme="majorHAnsi" w:eastAsia="Times New Roman" w:hAnsiTheme="majorHAnsi" w:cstheme="majorBidi"/>
          <w:sz w:val="36"/>
          <w:szCs w:val="36"/>
          <w:lang w:eastAsia="it-IT"/>
        </w:rPr>
        <w:t>popolazione e/o regione</w:t>
      </w:r>
      <w:r w:rsidR="00395F71">
        <w:rPr>
          <w:rFonts w:asciiTheme="majorHAnsi" w:eastAsia="Times New Roman" w:hAnsiTheme="majorHAnsi" w:cstheme="majorBidi"/>
          <w:sz w:val="36"/>
          <w:szCs w:val="36"/>
          <w:lang w:eastAsia="it-IT"/>
        </w:rPr>
        <w:t xml:space="preserve">. </w:t>
      </w:r>
      <w:r w:rsidR="0087377C">
        <w:rPr>
          <w:rFonts w:asciiTheme="majorHAnsi" w:eastAsia="Times New Roman" w:hAnsiTheme="majorHAnsi" w:cstheme="majorBidi"/>
          <w:sz w:val="36"/>
          <w:szCs w:val="36"/>
          <w:lang w:eastAsia="it-IT"/>
        </w:rPr>
        <w:br/>
        <w:t xml:space="preserve">Per dare un consiglio sulla decisione da prendere, avremmo bisogno di conoscere le condizioni iniziali e lo status di </w:t>
      </w:r>
      <w:proofErr w:type="spellStart"/>
      <w:r w:rsidR="0087377C">
        <w:rPr>
          <w:rFonts w:asciiTheme="majorHAnsi" w:eastAsia="Times New Roman" w:hAnsiTheme="majorHAnsi" w:cstheme="majorBidi"/>
          <w:sz w:val="36"/>
          <w:szCs w:val="36"/>
          <w:lang w:eastAsia="it-IT"/>
        </w:rPr>
        <w:t>XYPharma</w:t>
      </w:r>
      <w:proofErr w:type="spellEnd"/>
      <w:r w:rsidR="00971449">
        <w:rPr>
          <w:rFonts w:asciiTheme="majorHAnsi" w:eastAsia="Times New Roman" w:hAnsiTheme="majorHAnsi" w:cstheme="majorBidi"/>
          <w:sz w:val="36"/>
          <w:szCs w:val="36"/>
          <w:lang w:eastAsia="it-IT"/>
        </w:rPr>
        <w:t xml:space="preserve">. </w:t>
      </w:r>
    </w:p>
    <w:p w14:paraId="128001F8" w14:textId="1D5FCBBE" w:rsidR="00971449" w:rsidRDefault="00971449" w:rsidP="00564E40">
      <w:p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>
        <w:rPr>
          <w:rFonts w:asciiTheme="majorHAnsi" w:eastAsia="Times New Roman" w:hAnsiTheme="majorHAnsi" w:cstheme="majorBidi"/>
          <w:sz w:val="36"/>
          <w:szCs w:val="36"/>
          <w:lang w:eastAsia="it-IT"/>
        </w:rPr>
        <w:t xml:space="preserve">Dovremmo sapere se: </w:t>
      </w:r>
    </w:p>
    <w:p w14:paraId="5484413B" w14:textId="5BD3AAAA" w:rsidR="00971449" w:rsidRDefault="00971449" w:rsidP="00971449">
      <w:pPr>
        <w:pStyle w:val="Paragrafoelenco"/>
        <w:numPr>
          <w:ilvl w:val="0"/>
          <w:numId w:val="5"/>
        </w:num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>
        <w:rPr>
          <w:rFonts w:asciiTheme="majorHAnsi" w:eastAsia="Times New Roman" w:hAnsiTheme="majorHAnsi" w:cstheme="majorBidi"/>
          <w:sz w:val="36"/>
          <w:szCs w:val="36"/>
          <w:lang w:eastAsia="it-IT"/>
        </w:rPr>
        <w:lastRenderedPageBreak/>
        <w:t>L’ azienda dispone già di tutte le strutture e le tecnologie necessarie per iniziare la produzione o se deve fare investimenti.</w:t>
      </w:r>
    </w:p>
    <w:p w14:paraId="5BD52319" w14:textId="2A37D601" w:rsidR="00971449" w:rsidRDefault="00971449" w:rsidP="00971449">
      <w:pPr>
        <w:pStyle w:val="Paragrafoelenco"/>
        <w:numPr>
          <w:ilvl w:val="0"/>
          <w:numId w:val="5"/>
        </w:num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>
        <w:rPr>
          <w:rFonts w:asciiTheme="majorHAnsi" w:eastAsia="Times New Roman" w:hAnsiTheme="majorHAnsi" w:cstheme="majorBidi"/>
          <w:sz w:val="36"/>
          <w:szCs w:val="36"/>
          <w:lang w:eastAsia="it-IT"/>
        </w:rPr>
        <w:t xml:space="preserve">Se ha il vaccino pronto o deve investire in ricerca per svilupparlo. </w:t>
      </w:r>
    </w:p>
    <w:p w14:paraId="64AB6DAF" w14:textId="6F08AC29" w:rsidR="00971449" w:rsidRDefault="00971449" w:rsidP="00971449">
      <w:pPr>
        <w:pStyle w:val="Paragrafoelenco"/>
        <w:numPr>
          <w:ilvl w:val="0"/>
          <w:numId w:val="5"/>
        </w:num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>
        <w:rPr>
          <w:rFonts w:asciiTheme="majorHAnsi" w:eastAsia="Times New Roman" w:hAnsiTheme="majorHAnsi" w:cstheme="majorBidi"/>
          <w:sz w:val="36"/>
          <w:szCs w:val="36"/>
          <w:lang w:eastAsia="it-IT"/>
        </w:rPr>
        <w:t>Se il vaccino che vogliono produrre è per una variante specifica o generale.</w:t>
      </w:r>
    </w:p>
    <w:p w14:paraId="2D0F7EB7" w14:textId="455E43E9" w:rsidR="00971449" w:rsidRDefault="00971449" w:rsidP="00971449">
      <w:pPr>
        <w:pStyle w:val="Paragrafoelenco"/>
        <w:numPr>
          <w:ilvl w:val="0"/>
          <w:numId w:val="5"/>
        </w:num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  <w:r>
        <w:rPr>
          <w:rFonts w:asciiTheme="majorHAnsi" w:eastAsia="Times New Roman" w:hAnsiTheme="majorHAnsi" w:cstheme="majorBidi"/>
          <w:sz w:val="36"/>
          <w:szCs w:val="36"/>
          <w:lang w:eastAsia="it-IT"/>
        </w:rPr>
        <w:t>Se intendono attivare la produzione del vaccino a medio termine (6-12 mesi) o puntano ad una vendita a lungo termine (5-10 anni)</w:t>
      </w:r>
      <w:r w:rsidR="004B136C">
        <w:rPr>
          <w:rFonts w:asciiTheme="majorHAnsi" w:eastAsia="Times New Roman" w:hAnsiTheme="majorHAnsi" w:cstheme="majorBidi"/>
          <w:sz w:val="36"/>
          <w:szCs w:val="36"/>
          <w:lang w:eastAsia="it-IT"/>
        </w:rPr>
        <w:t>.</w:t>
      </w:r>
    </w:p>
    <w:p w14:paraId="1C592940" w14:textId="77777777" w:rsidR="004B136C" w:rsidRPr="004B136C" w:rsidRDefault="004B136C" w:rsidP="004B136C">
      <w:pPr>
        <w:rPr>
          <w:rFonts w:asciiTheme="majorHAnsi" w:eastAsia="Times New Roman" w:hAnsiTheme="majorHAnsi" w:cstheme="majorBidi"/>
          <w:sz w:val="36"/>
          <w:szCs w:val="36"/>
          <w:lang w:eastAsia="it-IT"/>
        </w:rPr>
      </w:pPr>
    </w:p>
    <w:sectPr w:rsidR="004B136C" w:rsidRPr="004B13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808AF"/>
    <w:multiLevelType w:val="hybridMultilevel"/>
    <w:tmpl w:val="D174E2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07C20"/>
    <w:multiLevelType w:val="hybridMultilevel"/>
    <w:tmpl w:val="49A47E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F699E"/>
    <w:multiLevelType w:val="multilevel"/>
    <w:tmpl w:val="3B18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4129BD"/>
    <w:multiLevelType w:val="hybridMultilevel"/>
    <w:tmpl w:val="43F8E0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F3240"/>
    <w:multiLevelType w:val="multilevel"/>
    <w:tmpl w:val="E970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07823">
    <w:abstractNumId w:val="4"/>
  </w:num>
  <w:num w:numId="2" w16cid:durableId="65953233">
    <w:abstractNumId w:val="0"/>
  </w:num>
  <w:num w:numId="3" w16cid:durableId="924800600">
    <w:abstractNumId w:val="3"/>
  </w:num>
  <w:num w:numId="4" w16cid:durableId="33190034">
    <w:abstractNumId w:val="2"/>
  </w:num>
  <w:num w:numId="5" w16cid:durableId="467893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87"/>
    <w:rsid w:val="000C183B"/>
    <w:rsid w:val="000C712F"/>
    <w:rsid w:val="001F0F77"/>
    <w:rsid w:val="00264A18"/>
    <w:rsid w:val="002D2F40"/>
    <w:rsid w:val="00325C52"/>
    <w:rsid w:val="00395F71"/>
    <w:rsid w:val="003A1A61"/>
    <w:rsid w:val="003C18DD"/>
    <w:rsid w:val="003F4CFC"/>
    <w:rsid w:val="00473C0E"/>
    <w:rsid w:val="004B136C"/>
    <w:rsid w:val="004C63A0"/>
    <w:rsid w:val="00550310"/>
    <w:rsid w:val="00564E40"/>
    <w:rsid w:val="006A3092"/>
    <w:rsid w:val="007430FF"/>
    <w:rsid w:val="007A2494"/>
    <w:rsid w:val="007B5410"/>
    <w:rsid w:val="0087377C"/>
    <w:rsid w:val="009254FD"/>
    <w:rsid w:val="00971449"/>
    <w:rsid w:val="0098054A"/>
    <w:rsid w:val="00987BC3"/>
    <w:rsid w:val="009A5B54"/>
    <w:rsid w:val="009E3DDE"/>
    <w:rsid w:val="009F51C5"/>
    <w:rsid w:val="00A42554"/>
    <w:rsid w:val="00AE22EA"/>
    <w:rsid w:val="00B32CF2"/>
    <w:rsid w:val="00BB3623"/>
    <w:rsid w:val="00BD4B97"/>
    <w:rsid w:val="00DB6D41"/>
    <w:rsid w:val="00F241D7"/>
    <w:rsid w:val="00FA3692"/>
    <w:rsid w:val="00FA4B87"/>
    <w:rsid w:val="0A0A891E"/>
    <w:rsid w:val="514E057A"/>
    <w:rsid w:val="6CB88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93B8C"/>
  <w15:chartTrackingRefBased/>
  <w15:docId w15:val="{6431C9E2-3888-42B8-8B32-250AAD60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4">
    <w:name w:val="heading 4"/>
    <w:basedOn w:val="Normale"/>
    <w:link w:val="Titolo4Carattere"/>
    <w:uiPriority w:val="9"/>
    <w:qFormat/>
    <w:rsid w:val="007430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C18DD"/>
    <w:rPr>
      <w:color w:val="0563C1" w:themeColor="hyperlink"/>
      <w:u w:val="single"/>
    </w:rPr>
  </w:style>
  <w:style w:type="character" w:styleId="Enfasigrassetto">
    <w:name w:val="Strong"/>
    <w:basedOn w:val="Carpredefinitoparagrafo"/>
    <w:uiPriority w:val="22"/>
    <w:qFormat/>
    <w:rsid w:val="003C18DD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3F4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987BC3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3A1A61"/>
    <w:rPr>
      <w:color w:val="954F72" w:themeColor="followed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430FF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7B54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5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salute.gov.it/portale/nuovocoronavirus/dettaglioContenutiNuovoCoronavirus.jsp?id=6110&amp;area=nuovoCoronavirus&amp;menu=vuo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verno.it/it/cscovid19/report-vaccini/" TargetMode="External"/><Relationship Id="rId5" Type="http://schemas.openxmlformats.org/officeDocument/2006/relationships/hyperlink" Target="https://emergenze.protezionecivile.gov.it/it/sanitarie/coronaviru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Links>
    <vt:vector size="12" baseType="variant">
      <vt:variant>
        <vt:i4>3145828</vt:i4>
      </vt:variant>
      <vt:variant>
        <vt:i4>3</vt:i4>
      </vt:variant>
      <vt:variant>
        <vt:i4>0</vt:i4>
      </vt:variant>
      <vt:variant>
        <vt:i4>5</vt:i4>
      </vt:variant>
      <vt:variant>
        <vt:lpwstr>https://www.governo.it/it/cscovid19/report-vaccini/</vt:lpwstr>
      </vt:variant>
      <vt:variant>
        <vt:lpwstr/>
      </vt:variant>
      <vt:variant>
        <vt:i4>7929895</vt:i4>
      </vt:variant>
      <vt:variant>
        <vt:i4>0</vt:i4>
      </vt:variant>
      <vt:variant>
        <vt:i4>0</vt:i4>
      </vt:variant>
      <vt:variant>
        <vt:i4>5</vt:i4>
      </vt:variant>
      <vt:variant>
        <vt:lpwstr>https://emergenze.protezionecivile.gov.it/it/sanitarie/coronavirus/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Crisafulli</dc:creator>
  <cp:keywords/>
  <dc:description/>
  <cp:lastModifiedBy>Luigi Solazzi</cp:lastModifiedBy>
  <cp:revision>27</cp:revision>
  <dcterms:created xsi:type="dcterms:W3CDTF">2024-03-28T18:50:00Z</dcterms:created>
  <dcterms:modified xsi:type="dcterms:W3CDTF">2024-03-29T18:51:00Z</dcterms:modified>
</cp:coreProperties>
</file>