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Aptos Display" w:hAnsi="Aptos Display"/>
          <w:b/>
          <w:color w:val="25D0B1"/>
          <w:sz w:val="52"/>
        </w:rPr>
        <w:t>LDS</w:t>
      </w:r>
    </w:p>
    <w:p>
      <w:pPr>
        <w:spacing w:before="400" w:after="240"/>
      </w:pPr>
      <w:r>
        <w:rPr>
          <w:rFonts w:ascii="Aptos Display" w:hAnsi="Aptos Display"/>
          <w:b/>
          <w:color w:val="071A22"/>
          <w:sz w:val="76"/>
        </w:rPr>
        <w:t>Pronóstico de demanda</w:t>
        <w:br/>
        <w:t>eléctrica del SEIN</w:t>
      </w:r>
    </w:p>
    <w:p>
      <w:r>
        <w:rPr>
          <w:color w:val="5E7580"/>
          <w:sz w:val="36"/>
        </w:rPr>
        <w:t>Modelo operativo para horizontes de 6, 12 y 24 horas</w:t>
      </w:r>
    </w:p>
    <w:p>
      <w:r>
        <w:t>Proyecto final · Python aplicado a IA y Web Scraping</w:t>
      </w:r>
    </w:p>
    <w:p>
      <w:r>
        <w:t>Luis Angel</w:t>
      </w:r>
    </w:p>
    <w:p>
      <w:r>
        <w:t>Octubre de 2026</w:t>
      </w:r>
    </w:p>
    <w:p>
      <w:r>
        <w:drawing>
          <wp:inline xmlns:a="http://schemas.openxmlformats.org/drawingml/2006/main" xmlns:pic="http://schemas.openxmlformats.org/drawingml/2006/picture">
            <wp:extent cx="6126480" cy="3150761"/>
            <wp:docPr id="1" name="Picture 1"/>
            <wp:cNvGraphicFramePr>
              <a:graphicFrameLocks noChangeAspect="1"/>
            </wp:cNvGraphicFramePr>
            <a:graphic>
              <a:graphicData uri="http://schemas.openxmlformats.org/drawingml/2006/picture">
                <pic:pic>
                  <pic:nvPicPr>
                    <pic:cNvPr id="0" name="resultados_mae.png"/>
                    <pic:cNvPicPr/>
                  </pic:nvPicPr>
                  <pic:blipFill>
                    <a:blip r:embed="rId11"/>
                    <a:stretch>
                      <a:fillRect/>
                    </a:stretch>
                  </pic:blipFill>
                  <pic:spPr>
                    <a:xfrm>
                      <a:off x="0" y="0"/>
                      <a:ext cx="6126480" cy="3150761"/>
                    </a:xfrm>
                    <a:prstGeom prst="rect"/>
                  </pic:spPr>
                </pic:pic>
              </a:graphicData>
            </a:graphic>
          </wp:inline>
        </w:drawing>
      </w:r>
    </w:p>
    <w:p>
      <w:r>
        <w:br w:type="page"/>
      </w:r>
    </w:p>
    <w:p>
      <w:pPr>
        <w:pStyle w:val="Heading1"/>
        <w:spacing w:before="80" w:after="160"/>
      </w:pPr>
      <w:r>
        <w:t>Resumen ejecutivo</w:t>
      </w:r>
    </w:p>
    <w:p>
      <w:pPr>
        <w:spacing w:after="140" w:line="269" w:lineRule="auto"/>
      </w:pPr>
      <w:r>
        <w:t>Este proyecto desarrolla un sistema completo para pronosticar la demanda eléctrica del Sistema Eléctrico Interconectado Nacional en intervalos de 30 minutos. El flujo comprende recolección, limpieza, construcción de variables, entrenamiento, validación temporal, despliegue web y monitoreo de nuevas versiones publicadas por COES.</w:t>
      </w:r>
    </w:p>
    <w:p>
      <w:pPr>
        <w:spacing w:after="140" w:line="269" w:lineRule="auto"/>
      </w:pPr>
      <w:r>
        <w:t>La evaluación principal utiliza información hasta el 31 de agosto de 2026 para entrenar y reserva septiembre de 2026 como prueba fuera de muestra. El modelo Ridge residual obtuvo errores MAE de 83,6 MW, 90,3 MW y 88,7 MW para 6, 12 y 24 horas. Frente a la Programación Diaria, las reducciones fueron 12,3 %, 5,1 % y 6,9 %.</w:t>
      </w:r>
    </w:p>
    <w:p>
      <w:pPr>
        <w:spacing w:after="140" w:line="269" w:lineRule="auto"/>
      </w:pPr>
      <w:r>
        <w:t>La aplicación consulta la fuente oficial, registra modificaciones, incorpora únicamente demanda ejecutada confirmada, reentrena y genera 48 intervalos futuros. También incorpora una corrección experimental de la última reprogramación disponible, con validación operativa mediante marcas de tiempo para evitar fuga de información.</w:t>
      </w:r>
    </w:p>
    <w:p>
      <w:pPr>
        <w:pStyle w:val="Heading2"/>
        <w:spacing w:before="160" w:after="160"/>
      </w:pPr>
      <w:r>
        <w:t>Objetivo general</w:t>
      </w:r>
    </w:p>
    <w:p>
      <w:pPr>
        <w:spacing w:after="140" w:line="269" w:lineRule="auto"/>
      </w:pPr>
      <w:r>
        <w:t>Construir un sistema reproducible que estime la demanda del SEIN para 6, 12 y 24 horas, mida su precisión contra referencias de COES y permita actualizar el pronóstico con la información disponible al momento de emisión.</w:t>
      </w:r>
    </w:p>
    <w:p>
      <w:pPr>
        <w:pStyle w:val="Heading2"/>
        <w:spacing w:before="160" w:after="160"/>
      </w:pPr>
      <w:r>
        <w:t>Resultados verificables</w:t>
      </w:r>
    </w:p>
    <w:p>
      <w:pPr>
        <w:pStyle w:val="ListBullet"/>
        <w:spacing w:after="80"/>
      </w:pPr>
      <w:r>
        <w:t>48.048 intervalos consolidados desde enero de 2024.</w:t>
      </w:r>
    </w:p>
    <w:p>
      <w:pPr>
        <w:pStyle w:val="ListBullet"/>
        <w:spacing w:after="80"/>
      </w:pPr>
      <w:r>
        <w:t>Validación temporal sin mezcla aleatoria entre entrenamiento y prueba.</w:t>
      </w:r>
    </w:p>
    <w:p>
      <w:pPr>
        <w:pStyle w:val="ListBullet"/>
        <w:spacing w:after="80"/>
      </w:pPr>
      <w:r>
        <w:t>48 predicciones operativas de media hora en cada actualización.</w:t>
      </w:r>
    </w:p>
    <w:p>
      <w:pPr>
        <w:pStyle w:val="ListBullet"/>
        <w:spacing w:after="80"/>
      </w:pPr>
      <w:r>
        <w:t>Panel local, monitor SQLite, modelos serializados y pruebas automáticas.</w:t>
      </w:r>
    </w:p>
    <w:p>
      <w:r>
        <w:br w:type="page"/>
      </w:r>
    </w:p>
    <w:p>
      <w:pPr>
        <w:pStyle w:val="Heading1"/>
        <w:spacing w:before="80" w:after="160"/>
      </w:pPr>
      <w:r>
        <w:t>1. Planteamiento del problema</w:t>
      </w:r>
    </w:p>
    <w:p>
      <w:pPr>
        <w:spacing w:after="140" w:line="269" w:lineRule="auto"/>
      </w:pPr>
      <w:r>
        <w:t>La demanda eléctrica presenta ciclos horarios, semanales y estacionales, además de variaciones por temperatura, feriados y actividad económica. Una predicción útil debe adaptarse a la información más reciente y conservar trazabilidad sobre cuándo fue emitida.</w:t>
      </w:r>
    </w:p>
    <w:p>
      <w:pPr>
        <w:spacing w:after="140" w:line="269" w:lineRule="auto"/>
      </w:pPr>
      <w:r>
        <w:t>COES publica demanda ejecutada, programación diaria, programación semanal y reprogramaciones. Estas referencias contienen información operativa valiosa, pero pueden desviarse durante el día. El proyecto combina un modelo independiente con correcciones aprendidas sobre las referencias disponibles.</w:t>
      </w:r>
    </w:p>
    <w:p>
      <w:pPr>
        <w:pStyle w:val="Heading2"/>
        <w:spacing w:before="160" w:after="160"/>
      </w:pPr>
      <w:r>
        <w:t>Preguntas de trabajo</w:t>
      </w:r>
    </w:p>
    <w:p>
      <w:pPr>
        <w:pStyle w:val="ListBullet"/>
        <w:spacing w:after="80"/>
      </w:pPr>
      <w:r>
        <w:t>¿Qué modelo reduce el error fuera de muestra en 6, 12 y 24 horas?</w:t>
      </w:r>
    </w:p>
    <w:p>
      <w:pPr>
        <w:pStyle w:val="ListBullet"/>
        <w:spacing w:after="80"/>
      </w:pPr>
      <w:r>
        <w:t>¿La corrección residual mejora la Programación Diaria y la reprogramación?</w:t>
      </w:r>
    </w:p>
    <w:p>
      <w:pPr>
        <w:pStyle w:val="ListBullet"/>
        <w:spacing w:after="80"/>
      </w:pPr>
      <w:r>
        <w:t>¿Cómo evitar usar una versión de COES publicada después del intervalo evaluado?</w:t>
      </w:r>
    </w:p>
    <w:p>
      <w:pPr>
        <w:pStyle w:val="ListBullet"/>
        <w:spacing w:after="80"/>
      </w:pPr>
      <w:r>
        <w:t>¿Cómo actualizar el pronóstico sin reconstruir manualmente todo el proyecto?</w:t>
      </w:r>
    </w:p>
    <w:p>
      <w:pPr>
        <w:pStyle w:val="Heading2"/>
        <w:spacing w:before="160" w:after="160"/>
      </w:pPr>
      <w:r>
        <w:t>Criterio de éxito</w:t>
      </w:r>
    </w:p>
    <w:p>
      <w:pPr>
        <w:spacing w:after="140" w:line="269" w:lineRule="auto"/>
      </w:pPr>
      <w:r>
        <w:t>El criterio principal es el MAE en MW sobre periodos futuros completos. También se revisan RMSE, MAPE, sesgo y porcentaje de intervalos en los que el modelo supera a la referencia.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71A22"/>
            <w:vAlign w:val="center"/>
          </w:tcPr>
          <w:p>
            <w:r/>
            <w:r>
              <w:rPr>
                <w:rFonts w:ascii="Aptos" w:hAnsi="Aptos"/>
                <w:b/>
                <w:color w:val="FFFFFF"/>
                <w:sz w:val="18"/>
              </w:rPr>
              <w:t>Horizonte</w:t>
            </w:r>
          </w:p>
        </w:tc>
        <w:tc>
          <w:tcPr>
            <w:tcW w:type="dxa" w:w="3324"/>
            <w:shd w:fill="071A22"/>
            <w:vAlign w:val="center"/>
          </w:tcPr>
          <w:p>
            <w:r/>
            <w:r>
              <w:rPr>
                <w:rFonts w:ascii="Aptos" w:hAnsi="Aptos"/>
                <w:b/>
                <w:color w:val="FFFFFF"/>
                <w:sz w:val="18"/>
              </w:rPr>
              <w:t>Salida</w:t>
            </w:r>
          </w:p>
        </w:tc>
        <w:tc>
          <w:tcPr>
            <w:tcW w:type="dxa" w:w="3324"/>
            <w:shd w:fill="071A22"/>
            <w:vAlign w:val="center"/>
          </w:tcPr>
          <w:p>
            <w:r/>
            <w:r>
              <w:rPr>
                <w:rFonts w:ascii="Aptos" w:hAnsi="Aptos"/>
                <w:b/>
                <w:color w:val="FFFFFF"/>
                <w:sz w:val="18"/>
              </w:rPr>
              <w:t>Intervalos</w:t>
            </w:r>
          </w:p>
        </w:tc>
      </w:tr>
      <w:tr>
        <w:tc>
          <w:tcPr>
            <w:tcW w:type="dxa" w:w="3324"/>
            <w:vAlign w:val="center"/>
          </w:tcPr>
          <w:p>
            <w:r/>
            <w:r>
              <w:rPr>
                <w:rFonts w:ascii="Aptos" w:hAnsi="Aptos"/>
                <w:b w:val="0"/>
                <w:color w:val="17313B"/>
                <w:sz w:val="17"/>
              </w:rPr>
              <w:t>6 horas</w:t>
            </w:r>
          </w:p>
        </w:tc>
        <w:tc>
          <w:tcPr>
            <w:tcW w:type="dxa" w:w="3324"/>
            <w:vAlign w:val="center"/>
          </w:tcPr>
          <w:p>
            <w:r/>
            <w:r>
              <w:rPr>
                <w:rFonts w:ascii="Aptos" w:hAnsi="Aptos"/>
                <w:b w:val="0"/>
                <w:color w:val="17313B"/>
                <w:sz w:val="17"/>
              </w:rPr>
              <w:t>Pronóstico corto plazo</w:t>
            </w:r>
          </w:p>
        </w:tc>
        <w:tc>
          <w:tcPr>
            <w:tcW w:type="dxa" w:w="3324"/>
            <w:vAlign w:val="center"/>
          </w:tcPr>
          <w:p>
            <w:r/>
            <w:r>
              <w:rPr>
                <w:rFonts w:ascii="Aptos" w:hAnsi="Aptos"/>
                <w:b w:val="0"/>
                <w:color w:val="17313B"/>
                <w:sz w:val="17"/>
              </w:rPr>
              <w:t>12</w:t>
            </w:r>
          </w:p>
        </w:tc>
      </w:tr>
      <w:tr>
        <w:tc>
          <w:tcPr>
            <w:tcW w:type="dxa" w:w="3324"/>
            <w:vAlign w:val="center"/>
            <w:shd w:fill="F1F6F7"/>
          </w:tcPr>
          <w:p>
            <w:r/>
            <w:r>
              <w:rPr>
                <w:rFonts w:ascii="Aptos" w:hAnsi="Aptos"/>
                <w:b w:val="0"/>
                <w:color w:val="17313B"/>
                <w:sz w:val="17"/>
              </w:rPr>
              <w:t>12 horas</w:t>
            </w:r>
          </w:p>
        </w:tc>
        <w:tc>
          <w:tcPr>
            <w:tcW w:type="dxa" w:w="3324"/>
            <w:vAlign w:val="center"/>
            <w:shd w:fill="F1F6F7"/>
          </w:tcPr>
          <w:p>
            <w:r/>
            <w:r>
              <w:rPr>
                <w:rFonts w:ascii="Aptos" w:hAnsi="Aptos"/>
                <w:b w:val="0"/>
                <w:color w:val="17313B"/>
                <w:sz w:val="17"/>
              </w:rPr>
              <w:t>Pronóstico intradía</w:t>
            </w:r>
          </w:p>
        </w:tc>
        <w:tc>
          <w:tcPr>
            <w:tcW w:type="dxa" w:w="3324"/>
            <w:vAlign w:val="center"/>
            <w:shd w:fill="F1F6F7"/>
          </w:tcPr>
          <w:p>
            <w:r/>
            <w:r>
              <w:rPr>
                <w:rFonts w:ascii="Aptos" w:hAnsi="Aptos"/>
                <w:b w:val="0"/>
                <w:color w:val="17313B"/>
                <w:sz w:val="17"/>
              </w:rPr>
              <w:t>24</w:t>
            </w:r>
          </w:p>
        </w:tc>
      </w:tr>
      <w:tr>
        <w:tc>
          <w:tcPr>
            <w:tcW w:type="dxa" w:w="3324"/>
            <w:vAlign w:val="center"/>
          </w:tcPr>
          <w:p>
            <w:r/>
            <w:r>
              <w:rPr>
                <w:rFonts w:ascii="Aptos" w:hAnsi="Aptos"/>
                <w:b w:val="0"/>
                <w:color w:val="17313B"/>
                <w:sz w:val="17"/>
              </w:rPr>
              <w:t>24 horas</w:t>
            </w:r>
          </w:p>
        </w:tc>
        <w:tc>
          <w:tcPr>
            <w:tcW w:type="dxa" w:w="3324"/>
            <w:vAlign w:val="center"/>
          </w:tcPr>
          <w:p>
            <w:r/>
            <w:r>
              <w:rPr>
                <w:rFonts w:ascii="Aptos" w:hAnsi="Aptos"/>
                <w:b w:val="0"/>
                <w:color w:val="17313B"/>
                <w:sz w:val="17"/>
              </w:rPr>
              <w:t>Pronóstico diario</w:t>
            </w:r>
          </w:p>
        </w:tc>
        <w:tc>
          <w:tcPr>
            <w:tcW w:type="dxa" w:w="3324"/>
            <w:vAlign w:val="center"/>
          </w:tcPr>
          <w:p>
            <w:r/>
            <w:r>
              <w:rPr>
                <w:rFonts w:ascii="Aptos" w:hAnsi="Aptos"/>
                <w:b w:val="0"/>
                <w:color w:val="17313B"/>
                <w:sz w:val="17"/>
              </w:rPr>
              <w:t>48</w:t>
            </w:r>
          </w:p>
        </w:tc>
      </w:tr>
    </w:tbl>
    <w:p>
      <w:r>
        <w:br w:type="page"/>
      </w:r>
    </w:p>
    <w:p>
      <w:pPr>
        <w:pStyle w:val="Heading1"/>
        <w:spacing w:before="80" w:after="160"/>
      </w:pPr>
      <w:r>
        <w:t>2. Datos y calidad</w:t>
      </w:r>
    </w:p>
    <w:p>
      <w:pPr>
        <w:spacing w:after="140" w:line="269" w:lineRule="auto"/>
      </w:pPr>
      <w:r>
        <w:t>La fuente principal es el portal de información de demanda y la API de mediciones de COES. La base consolidada cubre desde el 1 de enero de 2024 a las 00:30 hasta el 28 de septiembre de 2026 a las 00:00, con frecuencia de 30 minutos.</w:t>
      </w:r>
    </w:p>
    <w:tbl>
      <w:tblPr>
        <w:tblStyle w:val="TableGrid"/>
        <w:tblW w:type="auto" w:w="0"/>
        <w:jc w:val="center"/>
        <w:tblLook w:firstColumn="1" w:firstRow="1" w:lastColumn="0" w:lastRow="0" w:noHBand="0" w:noVBand="1" w:val="04A0"/>
      </w:tblPr>
      <w:tblGrid>
        <w:gridCol w:w="4986"/>
        <w:gridCol w:w="4986"/>
      </w:tblGrid>
      <w:tr>
        <w:tc>
          <w:tcPr>
            <w:tcW w:type="dxa" w:w="4986"/>
            <w:shd w:fill="071A22"/>
            <w:vAlign w:val="center"/>
          </w:tcPr>
          <w:p>
            <w:r/>
            <w:r>
              <w:rPr>
                <w:rFonts w:ascii="Aptos" w:hAnsi="Aptos"/>
                <w:b/>
                <w:color w:val="FFFFFF"/>
                <w:sz w:val="18"/>
              </w:rPr>
              <w:t>Componente</w:t>
            </w:r>
          </w:p>
        </w:tc>
        <w:tc>
          <w:tcPr>
            <w:tcW w:type="dxa" w:w="4986"/>
            <w:shd w:fill="071A22"/>
            <w:vAlign w:val="center"/>
          </w:tcPr>
          <w:p>
            <w:r/>
            <w:r>
              <w:rPr>
                <w:rFonts w:ascii="Aptos" w:hAnsi="Aptos"/>
                <w:b/>
                <w:color w:val="FFFFFF"/>
                <w:sz w:val="18"/>
              </w:rPr>
              <w:t>Descripción</w:t>
            </w:r>
          </w:p>
        </w:tc>
      </w:tr>
      <w:tr>
        <w:tc>
          <w:tcPr>
            <w:tcW w:type="dxa" w:w="2551"/>
            <w:vAlign w:val="center"/>
          </w:tcPr>
          <w:p>
            <w:r/>
            <w:r>
              <w:rPr>
                <w:rFonts w:ascii="Aptos" w:hAnsi="Aptos"/>
                <w:b w:val="0"/>
                <w:color w:val="17313B"/>
                <w:sz w:val="17"/>
              </w:rPr>
              <w:t>Ejecutado</w:t>
            </w:r>
          </w:p>
        </w:tc>
        <w:tc>
          <w:tcPr>
            <w:tcW w:type="dxa" w:w="6803"/>
            <w:vAlign w:val="center"/>
          </w:tcPr>
          <w:p>
            <w:r/>
            <w:r>
              <w:rPr>
                <w:rFonts w:ascii="Aptos" w:hAnsi="Aptos"/>
                <w:b w:val="0"/>
                <w:color w:val="17313B"/>
                <w:sz w:val="17"/>
              </w:rPr>
              <w:t>Demanda observada del SEIN en MW.</w:t>
            </w:r>
          </w:p>
        </w:tc>
      </w:tr>
      <w:tr>
        <w:tc>
          <w:tcPr>
            <w:tcW w:type="dxa" w:w="2551"/>
            <w:vAlign w:val="center"/>
            <w:shd w:fill="F1F6F7"/>
          </w:tcPr>
          <w:p>
            <w:r/>
            <w:r>
              <w:rPr>
                <w:rFonts w:ascii="Aptos" w:hAnsi="Aptos"/>
                <w:b w:val="0"/>
                <w:color w:val="17313B"/>
                <w:sz w:val="17"/>
              </w:rPr>
              <w:t>Programación diaria</w:t>
            </w:r>
          </w:p>
        </w:tc>
        <w:tc>
          <w:tcPr>
            <w:tcW w:type="dxa" w:w="6803"/>
            <w:vAlign w:val="center"/>
            <w:shd w:fill="F1F6F7"/>
          </w:tcPr>
          <w:p>
            <w:r/>
            <w:r>
              <w:rPr>
                <w:rFonts w:ascii="Aptos" w:hAnsi="Aptos"/>
                <w:b w:val="0"/>
                <w:color w:val="17313B"/>
                <w:sz w:val="17"/>
              </w:rPr>
              <w:t>Pronóstico operativo diario publicado por COES.</w:t>
            </w:r>
          </w:p>
        </w:tc>
      </w:tr>
      <w:tr>
        <w:tc>
          <w:tcPr>
            <w:tcW w:type="dxa" w:w="2551"/>
            <w:vAlign w:val="center"/>
          </w:tcPr>
          <w:p>
            <w:r/>
            <w:r>
              <w:rPr>
                <w:rFonts w:ascii="Aptos" w:hAnsi="Aptos"/>
                <w:b w:val="0"/>
                <w:color w:val="17313B"/>
                <w:sz w:val="17"/>
              </w:rPr>
              <w:t>Programación semanal</w:t>
            </w:r>
          </w:p>
        </w:tc>
        <w:tc>
          <w:tcPr>
            <w:tcW w:type="dxa" w:w="6803"/>
            <w:vAlign w:val="center"/>
          </w:tcPr>
          <w:p>
            <w:r/>
            <w:r>
              <w:rPr>
                <w:rFonts w:ascii="Aptos" w:hAnsi="Aptos"/>
                <w:b w:val="0"/>
                <w:color w:val="17313B"/>
                <w:sz w:val="17"/>
              </w:rPr>
              <w:t>Referencia semanal publicada por COES.</w:t>
            </w:r>
          </w:p>
        </w:tc>
      </w:tr>
      <w:tr>
        <w:tc>
          <w:tcPr>
            <w:tcW w:type="dxa" w:w="2551"/>
            <w:vAlign w:val="center"/>
            <w:shd w:fill="F1F6F7"/>
          </w:tcPr>
          <w:p>
            <w:r/>
            <w:r>
              <w:rPr>
                <w:rFonts w:ascii="Aptos" w:hAnsi="Aptos"/>
                <w:b w:val="0"/>
                <w:color w:val="17313B"/>
                <w:sz w:val="17"/>
              </w:rPr>
              <w:t>Reprogramación</w:t>
            </w:r>
          </w:p>
        </w:tc>
        <w:tc>
          <w:tcPr>
            <w:tcW w:type="dxa" w:w="6803"/>
            <w:vAlign w:val="center"/>
            <w:shd w:fill="F1F6F7"/>
          </w:tcPr>
          <w:p>
            <w:r/>
            <w:r>
              <w:rPr>
                <w:rFonts w:ascii="Aptos" w:hAnsi="Aptos"/>
                <w:b w:val="0"/>
                <w:color w:val="17313B"/>
                <w:sz w:val="17"/>
              </w:rPr>
              <w:t>Curva actualizada durante la operación diaria.</w:t>
            </w:r>
          </w:p>
        </w:tc>
      </w:tr>
      <w:tr>
        <w:tc>
          <w:tcPr>
            <w:tcW w:type="dxa" w:w="2551"/>
            <w:vAlign w:val="center"/>
          </w:tcPr>
          <w:p>
            <w:r/>
            <w:r>
              <w:rPr>
                <w:rFonts w:ascii="Aptos" w:hAnsi="Aptos"/>
                <w:b w:val="0"/>
                <w:color w:val="17313B"/>
                <w:sz w:val="17"/>
              </w:rPr>
              <w:t>Calendario</w:t>
            </w:r>
          </w:p>
        </w:tc>
        <w:tc>
          <w:tcPr>
            <w:tcW w:type="dxa" w:w="6803"/>
            <w:vAlign w:val="center"/>
          </w:tcPr>
          <w:p>
            <w:r/>
            <w:r>
              <w:rPr>
                <w:rFonts w:ascii="Aptos" w:hAnsi="Aptos"/>
                <w:b w:val="0"/>
                <w:color w:val="17313B"/>
                <w:sz w:val="17"/>
              </w:rPr>
              <w:t>Hora, día de semana, fin de semana y feriados.</w:t>
            </w:r>
          </w:p>
        </w:tc>
      </w:tr>
      <w:tr>
        <w:tc>
          <w:tcPr>
            <w:tcW w:type="dxa" w:w="2551"/>
            <w:vAlign w:val="center"/>
            <w:shd w:fill="F1F6F7"/>
          </w:tcPr>
          <w:p>
            <w:r/>
            <w:r>
              <w:rPr>
                <w:rFonts w:ascii="Aptos" w:hAnsi="Aptos"/>
                <w:b w:val="0"/>
                <w:color w:val="17313B"/>
                <w:sz w:val="17"/>
              </w:rPr>
              <w:t>Histórico reciente</w:t>
            </w:r>
          </w:p>
        </w:tc>
        <w:tc>
          <w:tcPr>
            <w:tcW w:type="dxa" w:w="6803"/>
            <w:vAlign w:val="center"/>
            <w:shd w:fill="F1F6F7"/>
          </w:tcPr>
          <w:p>
            <w:r/>
            <w:r>
              <w:rPr>
                <w:rFonts w:ascii="Aptos" w:hAnsi="Aptos"/>
                <w:b w:val="0"/>
                <w:color w:val="17313B"/>
                <w:sz w:val="17"/>
              </w:rPr>
              <w:t>Retardos, medias móviles, rampas y nivel relativo.</w:t>
            </w:r>
          </w:p>
        </w:tc>
      </w:tr>
    </w:tbl>
    <w:p>
      <w:pPr>
        <w:pStyle w:val="Heading2"/>
        <w:spacing w:before="160" w:after="160"/>
      </w:pPr>
      <w:r>
        <w:t>Controles aplicados</w:t>
      </w:r>
    </w:p>
    <w:p>
      <w:pPr>
        <w:pStyle w:val="ListBullet"/>
        <w:spacing w:after="80"/>
      </w:pPr>
      <w:r>
        <w:t>Conversión consistente de fecha y hora en la zona America/Lima.</w:t>
      </w:r>
    </w:p>
    <w:p>
      <w:pPr>
        <w:pStyle w:val="ListBullet"/>
        <w:spacing w:after="80"/>
      </w:pPr>
      <w:r>
        <w:t>Ordenamiento cronológico y eliminación de duplicados.</w:t>
      </w:r>
    </w:p>
    <w:p>
      <w:pPr>
        <w:pStyle w:val="ListBullet"/>
        <w:spacing w:after="80"/>
      </w:pPr>
      <w:r>
        <w:t>Conversión de separadores numéricos a MW.</w:t>
      </w:r>
    </w:p>
    <w:p>
      <w:pPr>
        <w:pStyle w:val="ListBullet"/>
        <w:spacing w:after="80"/>
      </w:pPr>
      <w:r>
        <w:t>Exclusión de ejecutados faltantes como variable objetivo.</w:t>
      </w:r>
    </w:p>
    <w:p>
      <w:pPr>
        <w:pStyle w:val="ListBullet"/>
        <w:spacing w:after="80"/>
      </w:pPr>
      <w:r>
        <w:t>Conservación de versiones intradía en SQLite con hora de captura.</w:t>
      </w:r>
    </w:p>
    <w:p>
      <w:pPr>
        <w:spacing w:after="140" w:line="269" w:lineRule="auto"/>
      </w:pPr>
      <w:r>
        <w:t>El conjunto consolidado contiene 48.048 filas y 14 valores ejecutados faltantes. Las programaciones diaria y semanal no presentan faltantes en el corte de validación.</w:t>
      </w:r>
    </w:p>
    <w:p>
      <w:r>
        <w:br w:type="page"/>
      </w:r>
    </w:p>
    <w:p>
      <w:pPr>
        <w:pStyle w:val="Heading1"/>
        <w:spacing w:before="80" w:after="160"/>
      </w:pPr>
      <w:r>
        <w:t>3. Ingeniería de variables</w:t>
      </w:r>
    </w:p>
    <w:p>
      <w:pPr>
        <w:spacing w:after="140" w:line="269" w:lineRule="auto"/>
      </w:pPr>
      <w:r>
        <w:t>Las variables fueron diseñadas para representar ciclos y cambios recientes sin incorporar información futura. Cada pronóstico se construye usando únicamente datos disponibles hasta su origen.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71A22"/>
            <w:vAlign w:val="center"/>
          </w:tcPr>
          <w:p>
            <w:r/>
            <w:r>
              <w:rPr>
                <w:rFonts w:ascii="Aptos" w:hAnsi="Aptos"/>
                <w:b/>
                <w:color w:val="FFFFFF"/>
                <w:sz w:val="18"/>
              </w:rPr>
              <w:t>Grupo</w:t>
            </w:r>
          </w:p>
        </w:tc>
        <w:tc>
          <w:tcPr>
            <w:tcW w:type="dxa" w:w="3324"/>
            <w:shd w:fill="071A22"/>
            <w:vAlign w:val="center"/>
          </w:tcPr>
          <w:p>
            <w:r/>
            <w:r>
              <w:rPr>
                <w:rFonts w:ascii="Aptos" w:hAnsi="Aptos"/>
                <w:b/>
                <w:color w:val="FFFFFF"/>
                <w:sz w:val="18"/>
              </w:rPr>
              <w:t>Variables</w:t>
            </w:r>
          </w:p>
        </w:tc>
        <w:tc>
          <w:tcPr>
            <w:tcW w:type="dxa" w:w="3324"/>
            <w:shd w:fill="071A22"/>
            <w:vAlign w:val="center"/>
          </w:tcPr>
          <w:p>
            <w:r/>
            <w:r>
              <w:rPr>
                <w:rFonts w:ascii="Aptos" w:hAnsi="Aptos"/>
                <w:b/>
                <w:color w:val="FFFFFF"/>
                <w:sz w:val="18"/>
              </w:rPr>
              <w:t>Propósito</w:t>
            </w:r>
          </w:p>
        </w:tc>
      </w:tr>
      <w:tr>
        <w:tc>
          <w:tcPr>
            <w:tcW w:type="dxa" w:w="3324"/>
            <w:vAlign w:val="center"/>
          </w:tcPr>
          <w:p>
            <w:r/>
            <w:r>
              <w:rPr>
                <w:rFonts w:ascii="Aptos" w:hAnsi="Aptos"/>
                <w:b w:val="0"/>
                <w:color w:val="17313B"/>
                <w:sz w:val="17"/>
              </w:rPr>
              <w:t>Calendario</w:t>
            </w:r>
          </w:p>
        </w:tc>
        <w:tc>
          <w:tcPr>
            <w:tcW w:type="dxa" w:w="3324"/>
            <w:vAlign w:val="center"/>
          </w:tcPr>
          <w:p>
            <w:r/>
            <w:r>
              <w:rPr>
                <w:rFonts w:ascii="Aptos" w:hAnsi="Aptos"/>
                <w:b w:val="0"/>
                <w:color w:val="17313B"/>
                <w:sz w:val="17"/>
              </w:rPr>
              <w:t>hora, seno/coseno, día semanal, fin de semana, feriado</w:t>
            </w:r>
          </w:p>
        </w:tc>
        <w:tc>
          <w:tcPr>
            <w:tcW w:type="dxa" w:w="3324"/>
            <w:vAlign w:val="center"/>
          </w:tcPr>
          <w:p>
            <w:r/>
            <w:r>
              <w:rPr>
                <w:rFonts w:ascii="Aptos" w:hAnsi="Aptos"/>
                <w:b w:val="0"/>
                <w:color w:val="17313B"/>
                <w:sz w:val="17"/>
              </w:rPr>
              <w:t>Capturar periodicidad y cambios de actividad.</w:t>
            </w:r>
          </w:p>
        </w:tc>
      </w:tr>
      <w:tr>
        <w:tc>
          <w:tcPr>
            <w:tcW w:type="dxa" w:w="3324"/>
            <w:vAlign w:val="center"/>
            <w:shd w:fill="F1F6F7"/>
          </w:tcPr>
          <w:p>
            <w:r/>
            <w:r>
              <w:rPr>
                <w:rFonts w:ascii="Aptos" w:hAnsi="Aptos"/>
                <w:b w:val="0"/>
                <w:color w:val="17313B"/>
                <w:sz w:val="17"/>
              </w:rPr>
              <w:t>Retardos</w:t>
            </w:r>
          </w:p>
        </w:tc>
        <w:tc>
          <w:tcPr>
            <w:tcW w:type="dxa" w:w="3324"/>
            <w:vAlign w:val="center"/>
            <w:shd w:fill="F1F6F7"/>
          </w:tcPr>
          <w:p>
            <w:r/>
            <w:r>
              <w:rPr>
                <w:rFonts w:ascii="Aptos" w:hAnsi="Aptos"/>
                <w:b w:val="0"/>
                <w:color w:val="17313B"/>
                <w:sz w:val="17"/>
              </w:rPr>
              <w:t>30 min, 1 h, 2 h, 24 h y 7 días</w:t>
            </w:r>
          </w:p>
        </w:tc>
        <w:tc>
          <w:tcPr>
            <w:tcW w:type="dxa" w:w="3324"/>
            <w:vAlign w:val="center"/>
            <w:shd w:fill="F1F6F7"/>
          </w:tcPr>
          <w:p>
            <w:r/>
            <w:r>
              <w:rPr>
                <w:rFonts w:ascii="Aptos" w:hAnsi="Aptos"/>
                <w:b w:val="0"/>
                <w:color w:val="17313B"/>
                <w:sz w:val="17"/>
              </w:rPr>
              <w:t>Representar continuidad y patrones repetidos.</w:t>
            </w:r>
          </w:p>
        </w:tc>
      </w:tr>
      <w:tr>
        <w:tc>
          <w:tcPr>
            <w:tcW w:type="dxa" w:w="3324"/>
            <w:vAlign w:val="center"/>
          </w:tcPr>
          <w:p>
            <w:r/>
            <w:r>
              <w:rPr>
                <w:rFonts w:ascii="Aptos" w:hAnsi="Aptos"/>
                <w:b w:val="0"/>
                <w:color w:val="17313B"/>
                <w:sz w:val="17"/>
              </w:rPr>
              <w:t>Ventanas</w:t>
            </w:r>
          </w:p>
        </w:tc>
        <w:tc>
          <w:tcPr>
            <w:tcW w:type="dxa" w:w="3324"/>
            <w:vAlign w:val="center"/>
          </w:tcPr>
          <w:p>
            <w:r/>
            <w:r>
              <w:rPr>
                <w:rFonts w:ascii="Aptos" w:hAnsi="Aptos"/>
                <w:b w:val="0"/>
                <w:color w:val="17313B"/>
                <w:sz w:val="17"/>
              </w:rPr>
              <w:t>medias y dispersión recientes</w:t>
            </w:r>
          </w:p>
        </w:tc>
        <w:tc>
          <w:tcPr>
            <w:tcW w:type="dxa" w:w="3324"/>
            <w:vAlign w:val="center"/>
          </w:tcPr>
          <w:p>
            <w:r/>
            <w:r>
              <w:rPr>
                <w:rFonts w:ascii="Aptos" w:hAnsi="Aptos"/>
                <w:b w:val="0"/>
                <w:color w:val="17313B"/>
                <w:sz w:val="17"/>
              </w:rPr>
              <w:t>Suavizar ruido y medir nivel local.</w:t>
            </w:r>
          </w:p>
        </w:tc>
      </w:tr>
      <w:tr>
        <w:tc>
          <w:tcPr>
            <w:tcW w:type="dxa" w:w="3324"/>
            <w:vAlign w:val="center"/>
            <w:shd w:fill="F1F6F7"/>
          </w:tcPr>
          <w:p>
            <w:r/>
            <w:r>
              <w:rPr>
                <w:rFonts w:ascii="Aptos" w:hAnsi="Aptos"/>
                <w:b w:val="0"/>
                <w:color w:val="17313B"/>
                <w:sz w:val="17"/>
              </w:rPr>
              <w:t>Rampas</w:t>
            </w:r>
          </w:p>
        </w:tc>
        <w:tc>
          <w:tcPr>
            <w:tcW w:type="dxa" w:w="3324"/>
            <w:vAlign w:val="center"/>
            <w:shd w:fill="F1F6F7"/>
          </w:tcPr>
          <w:p>
            <w:r/>
            <w:r>
              <w:rPr>
                <w:rFonts w:ascii="Aptos" w:hAnsi="Aptos"/>
                <w:b w:val="0"/>
                <w:color w:val="17313B"/>
                <w:sz w:val="17"/>
              </w:rPr>
              <w:t>cambios de 30 min y 1 h</w:t>
            </w:r>
          </w:p>
        </w:tc>
        <w:tc>
          <w:tcPr>
            <w:tcW w:type="dxa" w:w="3324"/>
            <w:vAlign w:val="center"/>
            <w:shd w:fill="F1F6F7"/>
          </w:tcPr>
          <w:p>
            <w:r/>
            <w:r>
              <w:rPr>
                <w:rFonts w:ascii="Aptos" w:hAnsi="Aptos"/>
                <w:b w:val="0"/>
                <w:color w:val="17313B"/>
                <w:sz w:val="17"/>
              </w:rPr>
              <w:t>Reconocer aceleración de la curva.</w:t>
            </w:r>
          </w:p>
        </w:tc>
      </w:tr>
      <w:tr>
        <w:tc>
          <w:tcPr>
            <w:tcW w:type="dxa" w:w="3324"/>
            <w:vAlign w:val="center"/>
          </w:tcPr>
          <w:p>
            <w:r/>
            <w:r>
              <w:rPr>
                <w:rFonts w:ascii="Aptos" w:hAnsi="Aptos"/>
                <w:b w:val="0"/>
                <w:color w:val="17313B"/>
                <w:sz w:val="17"/>
              </w:rPr>
              <w:t>COES</w:t>
            </w:r>
          </w:p>
        </w:tc>
        <w:tc>
          <w:tcPr>
            <w:tcW w:type="dxa" w:w="3324"/>
            <w:vAlign w:val="center"/>
          </w:tcPr>
          <w:p>
            <w:r/>
            <w:r>
              <w:rPr>
                <w:rFonts w:ascii="Aptos" w:hAnsi="Aptos"/>
                <w:b w:val="0"/>
                <w:color w:val="17313B"/>
                <w:sz w:val="17"/>
              </w:rPr>
              <w:t>diaria, semanal y reprogramación</w:t>
            </w:r>
          </w:p>
        </w:tc>
        <w:tc>
          <w:tcPr>
            <w:tcW w:type="dxa" w:w="3324"/>
            <w:vAlign w:val="center"/>
          </w:tcPr>
          <w:p>
            <w:r/>
            <w:r>
              <w:rPr>
                <w:rFonts w:ascii="Aptos" w:hAnsi="Aptos"/>
                <w:b w:val="0"/>
                <w:color w:val="17313B"/>
                <w:sz w:val="17"/>
              </w:rPr>
              <w:t>Incorporar información operativa disponible.</w:t>
            </w:r>
          </w:p>
        </w:tc>
      </w:tr>
      <w:tr>
        <w:tc>
          <w:tcPr>
            <w:tcW w:type="dxa" w:w="3324"/>
            <w:vAlign w:val="center"/>
            <w:shd w:fill="F1F6F7"/>
          </w:tcPr>
          <w:p>
            <w:r/>
            <w:r>
              <w:rPr>
                <w:rFonts w:ascii="Aptos" w:hAnsi="Aptos"/>
                <w:b w:val="0"/>
                <w:color w:val="17313B"/>
                <w:sz w:val="17"/>
              </w:rPr>
              <w:t>Residuales</w:t>
            </w:r>
          </w:p>
        </w:tc>
        <w:tc>
          <w:tcPr>
            <w:tcW w:type="dxa" w:w="3324"/>
            <w:vAlign w:val="center"/>
            <w:shd w:fill="F1F6F7"/>
          </w:tcPr>
          <w:p>
            <w:r/>
            <w:r>
              <w:rPr>
                <w:rFonts w:ascii="Aptos" w:hAnsi="Aptos"/>
                <w:b w:val="0"/>
                <w:color w:val="17313B"/>
                <w:sz w:val="17"/>
              </w:rPr>
              <w:t>ejecutado menos referencia</w:t>
            </w:r>
          </w:p>
        </w:tc>
        <w:tc>
          <w:tcPr>
            <w:tcW w:type="dxa" w:w="3324"/>
            <w:vAlign w:val="center"/>
            <w:shd w:fill="F1F6F7"/>
          </w:tcPr>
          <w:p>
            <w:r/>
            <w:r>
              <w:rPr>
                <w:rFonts w:ascii="Aptos" w:hAnsi="Aptos"/>
                <w:b w:val="0"/>
                <w:color w:val="17313B"/>
                <w:sz w:val="17"/>
              </w:rPr>
              <w:t>Aprender correcciones sistemáticas.</w:t>
            </w:r>
          </w:p>
        </w:tc>
      </w:tr>
    </w:tbl>
    <w:p>
      <w:pPr>
        <w:pStyle w:val="Heading2"/>
        <w:spacing w:before="160" w:after="160"/>
      </w:pPr>
      <w:r>
        <w:t>Variables externas evaluadas</w:t>
      </w:r>
    </w:p>
    <w:p>
      <w:pPr>
        <w:spacing w:after="140" w:line="269" w:lineRule="auto"/>
      </w:pPr>
      <w:r>
        <w:t>Se prepararon series meteorológicas históricas de NASA POWER y calendarios de feriados. El clima histórico no se incorpora como si fuera un pronóstico futuro: para producción solo es válido usar una predicción meteorológica que hubiera estado disponible antes de emitir cada demanda.</w:t>
      </w:r>
    </w:p>
    <w:p>
      <w:pPr>
        <w:spacing w:after="140" w:line="269" w:lineRule="auto"/>
      </w:pPr>
      <w:r>
        <w:t>El tipo de cambio no se prioriza para horizontes de 6 a 24 horas porque su relación inmediata con la curva de carga es débil. Variables como temperatura, nubosidad, feriados y actividad diaria tienen una justificación causal más directa.</w:t>
      </w:r>
    </w:p>
    <w:p>
      <w:r>
        <w:br w:type="page"/>
      </w:r>
    </w:p>
    <w:p>
      <w:pPr>
        <w:pStyle w:val="Heading1"/>
        <w:spacing w:before="80" w:after="160"/>
      </w:pPr>
      <w:r>
        <w:t>4. Modelos y selección</w:t>
      </w:r>
    </w:p>
    <w:p>
      <w:pPr>
        <w:spacing w:after="140" w:line="269" w:lineRule="auto"/>
      </w:pPr>
      <w:r>
        <w:t>La comparación parte de referencias simples y progresivamente incorpora información operativa. El modelo principal predice el residual respecto a la Programación Diaria y suma la corrección a la referencia.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71A22"/>
            <w:vAlign w:val="center"/>
          </w:tcPr>
          <w:p>
            <w:r/>
            <w:r>
              <w:rPr>
                <w:rFonts w:ascii="Aptos" w:hAnsi="Aptos"/>
                <w:b/>
                <w:color w:val="FFFFFF"/>
                <w:sz w:val="18"/>
              </w:rPr>
              <w:t>Modelo</w:t>
            </w:r>
          </w:p>
        </w:tc>
        <w:tc>
          <w:tcPr>
            <w:tcW w:type="dxa" w:w="3324"/>
            <w:shd w:fill="071A22"/>
            <w:vAlign w:val="center"/>
          </w:tcPr>
          <w:p>
            <w:r/>
            <w:r>
              <w:rPr>
                <w:rFonts w:ascii="Aptos" w:hAnsi="Aptos"/>
                <w:b/>
                <w:color w:val="FFFFFF"/>
                <w:sz w:val="18"/>
              </w:rPr>
              <w:t>Función</w:t>
            </w:r>
          </w:p>
        </w:tc>
        <w:tc>
          <w:tcPr>
            <w:tcW w:type="dxa" w:w="3324"/>
            <w:shd w:fill="071A22"/>
            <w:vAlign w:val="center"/>
          </w:tcPr>
          <w:p>
            <w:r/>
            <w:r>
              <w:rPr>
                <w:rFonts w:ascii="Aptos" w:hAnsi="Aptos"/>
                <w:b/>
                <w:color w:val="FFFFFF"/>
                <w:sz w:val="18"/>
              </w:rPr>
              <w:t>Decisión</w:t>
            </w:r>
          </w:p>
        </w:tc>
      </w:tr>
      <w:tr>
        <w:tc>
          <w:tcPr>
            <w:tcW w:type="dxa" w:w="3324"/>
            <w:vAlign w:val="center"/>
          </w:tcPr>
          <w:p>
            <w:r/>
            <w:r>
              <w:rPr>
                <w:rFonts w:ascii="Aptos" w:hAnsi="Aptos"/>
                <w:b w:val="0"/>
                <w:color w:val="17313B"/>
                <w:sz w:val="17"/>
              </w:rPr>
              <w:t>Persistencia D-1</w:t>
            </w:r>
          </w:p>
        </w:tc>
        <w:tc>
          <w:tcPr>
            <w:tcW w:type="dxa" w:w="3324"/>
            <w:vAlign w:val="center"/>
          </w:tcPr>
          <w:p>
            <w:r/>
            <w:r>
              <w:rPr>
                <w:rFonts w:ascii="Aptos" w:hAnsi="Aptos"/>
                <w:b w:val="0"/>
                <w:color w:val="17313B"/>
                <w:sz w:val="17"/>
              </w:rPr>
              <w:t>Repite la demanda del día anterior.</w:t>
            </w:r>
          </w:p>
        </w:tc>
        <w:tc>
          <w:tcPr>
            <w:tcW w:type="dxa" w:w="3324"/>
            <w:vAlign w:val="center"/>
          </w:tcPr>
          <w:p>
            <w:r/>
            <w:r>
              <w:rPr>
                <w:rFonts w:ascii="Aptos" w:hAnsi="Aptos"/>
                <w:b w:val="0"/>
                <w:color w:val="17313B"/>
                <w:sz w:val="17"/>
              </w:rPr>
              <w:t>Línea base.</w:t>
            </w:r>
          </w:p>
        </w:tc>
      </w:tr>
      <w:tr>
        <w:tc>
          <w:tcPr>
            <w:tcW w:type="dxa" w:w="3324"/>
            <w:vAlign w:val="center"/>
            <w:shd w:fill="F1F6F7"/>
          </w:tcPr>
          <w:p>
            <w:r/>
            <w:r>
              <w:rPr>
                <w:rFonts w:ascii="Aptos" w:hAnsi="Aptos"/>
                <w:b w:val="0"/>
                <w:color w:val="17313B"/>
                <w:sz w:val="17"/>
              </w:rPr>
              <w:t>Programación semanal</w:t>
            </w:r>
          </w:p>
        </w:tc>
        <w:tc>
          <w:tcPr>
            <w:tcW w:type="dxa" w:w="3324"/>
            <w:vAlign w:val="center"/>
            <w:shd w:fill="F1F6F7"/>
          </w:tcPr>
          <w:p>
            <w:r/>
            <w:r>
              <w:rPr>
                <w:rFonts w:ascii="Aptos" w:hAnsi="Aptos"/>
                <w:b w:val="0"/>
                <w:color w:val="17313B"/>
                <w:sz w:val="17"/>
              </w:rPr>
              <w:t>Referencia de planificación semanal.</w:t>
            </w:r>
          </w:p>
        </w:tc>
        <w:tc>
          <w:tcPr>
            <w:tcW w:type="dxa" w:w="3324"/>
            <w:vAlign w:val="center"/>
            <w:shd w:fill="F1F6F7"/>
          </w:tcPr>
          <w:p>
            <w:r/>
            <w:r>
              <w:rPr>
                <w:rFonts w:ascii="Aptos" w:hAnsi="Aptos"/>
                <w:b w:val="0"/>
                <w:color w:val="17313B"/>
                <w:sz w:val="17"/>
              </w:rPr>
              <w:t>Comparación COES.</w:t>
            </w:r>
          </w:p>
        </w:tc>
      </w:tr>
      <w:tr>
        <w:tc>
          <w:tcPr>
            <w:tcW w:type="dxa" w:w="3324"/>
            <w:vAlign w:val="center"/>
          </w:tcPr>
          <w:p>
            <w:r/>
            <w:r>
              <w:rPr>
                <w:rFonts w:ascii="Aptos" w:hAnsi="Aptos"/>
                <w:b w:val="0"/>
                <w:color w:val="17313B"/>
                <w:sz w:val="17"/>
              </w:rPr>
              <w:t>Programación diaria</w:t>
            </w:r>
          </w:p>
        </w:tc>
        <w:tc>
          <w:tcPr>
            <w:tcW w:type="dxa" w:w="3324"/>
            <w:vAlign w:val="center"/>
          </w:tcPr>
          <w:p>
            <w:r/>
            <w:r>
              <w:rPr>
                <w:rFonts w:ascii="Aptos" w:hAnsi="Aptos"/>
                <w:b w:val="0"/>
                <w:color w:val="17313B"/>
                <w:sz w:val="17"/>
              </w:rPr>
              <w:t>Referencia operativa diaria.</w:t>
            </w:r>
          </w:p>
        </w:tc>
        <w:tc>
          <w:tcPr>
            <w:tcW w:type="dxa" w:w="3324"/>
            <w:vAlign w:val="center"/>
          </w:tcPr>
          <w:p>
            <w:r/>
            <w:r>
              <w:rPr>
                <w:rFonts w:ascii="Aptos" w:hAnsi="Aptos"/>
                <w:b w:val="0"/>
                <w:color w:val="17313B"/>
                <w:sz w:val="17"/>
              </w:rPr>
              <w:t>Base a corregir.</w:t>
            </w:r>
          </w:p>
        </w:tc>
      </w:tr>
      <w:tr>
        <w:tc>
          <w:tcPr>
            <w:tcW w:type="dxa" w:w="3324"/>
            <w:vAlign w:val="center"/>
            <w:shd w:fill="F1F6F7"/>
          </w:tcPr>
          <w:p>
            <w:r/>
            <w:r>
              <w:rPr>
                <w:rFonts w:ascii="Aptos" w:hAnsi="Aptos"/>
                <w:b w:val="0"/>
                <w:color w:val="17313B"/>
                <w:sz w:val="17"/>
              </w:rPr>
              <w:t>Ridge residual</w:t>
            </w:r>
          </w:p>
        </w:tc>
        <w:tc>
          <w:tcPr>
            <w:tcW w:type="dxa" w:w="3324"/>
            <w:vAlign w:val="center"/>
            <w:shd w:fill="F1F6F7"/>
          </w:tcPr>
          <w:p>
            <w:r/>
            <w:r>
              <w:rPr>
                <w:rFonts w:ascii="Aptos" w:hAnsi="Aptos"/>
                <w:b w:val="0"/>
                <w:color w:val="17313B"/>
                <w:sz w:val="17"/>
              </w:rPr>
              <w:t>Regularización lineal sobre errores y contexto.</w:t>
            </w:r>
          </w:p>
        </w:tc>
        <w:tc>
          <w:tcPr>
            <w:tcW w:type="dxa" w:w="3324"/>
            <w:vAlign w:val="center"/>
            <w:shd w:fill="F1F6F7"/>
          </w:tcPr>
          <w:p>
            <w:r/>
            <w:r>
              <w:rPr>
                <w:rFonts w:ascii="Aptos" w:hAnsi="Aptos"/>
                <w:b w:val="0"/>
                <w:color w:val="17313B"/>
                <w:sz w:val="17"/>
              </w:rPr>
              <w:t>Modelo principal.</w:t>
            </w:r>
          </w:p>
        </w:tc>
      </w:tr>
      <w:tr>
        <w:tc>
          <w:tcPr>
            <w:tcW w:type="dxa" w:w="3324"/>
            <w:vAlign w:val="center"/>
          </w:tcPr>
          <w:p>
            <w:r/>
            <w:r>
              <w:rPr>
                <w:rFonts w:ascii="Aptos" w:hAnsi="Aptos"/>
                <w:b w:val="0"/>
                <w:color w:val="17313B"/>
                <w:sz w:val="17"/>
              </w:rPr>
              <w:t>HistGradientBoosting</w:t>
            </w:r>
          </w:p>
        </w:tc>
        <w:tc>
          <w:tcPr>
            <w:tcW w:type="dxa" w:w="3324"/>
            <w:vAlign w:val="center"/>
          </w:tcPr>
          <w:p>
            <w:r/>
            <w:r>
              <w:rPr>
                <w:rFonts w:ascii="Aptos" w:hAnsi="Aptos"/>
                <w:b w:val="0"/>
                <w:color w:val="17313B"/>
                <w:sz w:val="17"/>
              </w:rPr>
              <w:t>Relaciones no lineales por horizonte.</w:t>
            </w:r>
          </w:p>
        </w:tc>
        <w:tc>
          <w:tcPr>
            <w:tcW w:type="dxa" w:w="3324"/>
            <w:vAlign w:val="center"/>
          </w:tcPr>
          <w:p>
            <w:r/>
            <w:r>
              <w:rPr>
                <w:rFonts w:ascii="Aptos" w:hAnsi="Aptos"/>
                <w:b w:val="0"/>
                <w:color w:val="17313B"/>
                <w:sz w:val="17"/>
              </w:rPr>
              <w:t>Ganador experimental a 30 min.</w:t>
            </w:r>
          </w:p>
        </w:tc>
      </w:tr>
    </w:tbl>
    <w:p>
      <w:pPr>
        <w:pStyle w:val="Heading2"/>
        <w:spacing w:before="160" w:after="160"/>
      </w:pPr>
      <w:r>
        <w:t>Razones para Ridge</w:t>
      </w:r>
    </w:p>
    <w:p>
      <w:pPr>
        <w:pStyle w:val="ListBullet"/>
        <w:spacing w:after="80"/>
      </w:pPr>
      <w:r>
        <w:t>Controla la inestabilidad causada por variables correlacionadas.</w:t>
      </w:r>
    </w:p>
    <w:p>
      <w:pPr>
        <w:pStyle w:val="ListBullet"/>
        <w:spacing w:after="80"/>
      </w:pPr>
      <w:r>
        <w:t>Se reentrena rápidamente al actualizar el panel.</w:t>
      </w:r>
    </w:p>
    <w:p>
      <w:pPr>
        <w:pStyle w:val="ListBullet"/>
        <w:spacing w:after="80"/>
      </w:pPr>
      <w:r>
        <w:t>Permite inspeccionar la contribución y el signo de las variables.</w:t>
      </w:r>
    </w:p>
    <w:p>
      <w:pPr>
        <w:pStyle w:val="ListBullet"/>
        <w:spacing w:after="80"/>
      </w:pPr>
      <w:r>
        <w:t>Superó a la Programación Diaria en los tres horizontes oficiales.</w:t>
      </w:r>
    </w:p>
    <w:p>
      <w:pPr>
        <w:spacing w:after="140" w:line="269" w:lineRule="auto"/>
      </w:pPr>
      <w:r>
        <w:t>Una red neuronal o un modelo más complejo solo se incorpora si supera esta referencia de forma estable en cortes temporales consecutivos. La complejidad por sí sola no garantiza menor error.</w:t>
      </w:r>
    </w:p>
    <w:p>
      <w:r>
        <w:br w:type="page"/>
      </w:r>
    </w:p>
    <w:p>
      <w:pPr>
        <w:pStyle w:val="Heading1"/>
        <w:spacing w:before="80" w:after="160"/>
      </w:pPr>
      <w:r>
        <w:t>5. Diseño de validación</w:t>
      </w:r>
    </w:p>
    <w:p>
      <w:pPr>
        <w:spacing w:after="140" w:line="269" w:lineRule="auto"/>
      </w:pPr>
      <w:r>
        <w:t>La serie no se divide al azar. El entrenamiento utiliza datos anteriores al 1 de septiembre de 2026 y la prueba utiliza septiembre. De este modo, la evaluación reproduce el escenario real de pronosticar un mes que todavía no fue observado.</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71A22"/>
            <w:vAlign w:val="center"/>
          </w:tcPr>
          <w:p>
            <w:r/>
            <w:r>
              <w:rPr>
                <w:rFonts w:ascii="Aptos" w:hAnsi="Aptos"/>
                <w:b/>
                <w:color w:val="FFFFFF"/>
                <w:sz w:val="18"/>
              </w:rPr>
              <w:t>Etapa</w:t>
            </w:r>
          </w:p>
        </w:tc>
        <w:tc>
          <w:tcPr>
            <w:tcW w:type="dxa" w:w="3324"/>
            <w:shd w:fill="071A22"/>
            <w:vAlign w:val="center"/>
          </w:tcPr>
          <w:p>
            <w:r/>
            <w:r>
              <w:rPr>
                <w:rFonts w:ascii="Aptos" w:hAnsi="Aptos"/>
                <w:b/>
                <w:color w:val="FFFFFF"/>
                <w:sz w:val="18"/>
              </w:rPr>
              <w:t>Periodo</w:t>
            </w:r>
          </w:p>
        </w:tc>
        <w:tc>
          <w:tcPr>
            <w:tcW w:type="dxa" w:w="3324"/>
            <w:shd w:fill="071A22"/>
            <w:vAlign w:val="center"/>
          </w:tcPr>
          <w:p>
            <w:r/>
            <w:r>
              <w:rPr>
                <w:rFonts w:ascii="Aptos" w:hAnsi="Aptos"/>
                <w:b/>
                <w:color w:val="FFFFFF"/>
                <w:sz w:val="18"/>
              </w:rPr>
              <w:t>Uso</w:t>
            </w:r>
          </w:p>
        </w:tc>
      </w:tr>
      <w:tr>
        <w:tc>
          <w:tcPr>
            <w:tcW w:type="dxa" w:w="3324"/>
            <w:vAlign w:val="center"/>
          </w:tcPr>
          <w:p>
            <w:r/>
            <w:r>
              <w:rPr>
                <w:rFonts w:ascii="Aptos" w:hAnsi="Aptos"/>
                <w:b w:val="0"/>
                <w:color w:val="17313B"/>
                <w:sz w:val="17"/>
              </w:rPr>
              <w:t>Entrenamiento</w:t>
            </w:r>
          </w:p>
        </w:tc>
        <w:tc>
          <w:tcPr>
            <w:tcW w:type="dxa" w:w="3324"/>
            <w:vAlign w:val="center"/>
          </w:tcPr>
          <w:p>
            <w:r/>
            <w:r>
              <w:rPr>
                <w:rFonts w:ascii="Aptos" w:hAnsi="Aptos"/>
                <w:b w:val="0"/>
                <w:color w:val="17313B"/>
                <w:sz w:val="17"/>
              </w:rPr>
              <w:t>01/01/2024 – 31/08/2026</w:t>
            </w:r>
          </w:p>
        </w:tc>
        <w:tc>
          <w:tcPr>
            <w:tcW w:type="dxa" w:w="3324"/>
            <w:vAlign w:val="center"/>
          </w:tcPr>
          <w:p>
            <w:r/>
            <w:r>
              <w:rPr>
                <w:rFonts w:ascii="Aptos" w:hAnsi="Aptos"/>
                <w:b w:val="0"/>
                <w:color w:val="17313B"/>
                <w:sz w:val="17"/>
              </w:rPr>
              <w:t>Ajustar parámetros.</w:t>
            </w:r>
          </w:p>
        </w:tc>
      </w:tr>
      <w:tr>
        <w:tc>
          <w:tcPr>
            <w:tcW w:type="dxa" w:w="3324"/>
            <w:vAlign w:val="center"/>
            <w:shd w:fill="F1F6F7"/>
          </w:tcPr>
          <w:p>
            <w:r/>
            <w:r>
              <w:rPr>
                <w:rFonts w:ascii="Aptos" w:hAnsi="Aptos"/>
                <w:b w:val="0"/>
                <w:color w:val="17313B"/>
                <w:sz w:val="17"/>
              </w:rPr>
              <w:t>Prueba oficial</w:t>
            </w:r>
          </w:p>
        </w:tc>
        <w:tc>
          <w:tcPr>
            <w:tcW w:type="dxa" w:w="3324"/>
            <w:vAlign w:val="center"/>
            <w:shd w:fill="F1F6F7"/>
          </w:tcPr>
          <w:p>
            <w:r/>
            <w:r>
              <w:rPr>
                <w:rFonts w:ascii="Aptos" w:hAnsi="Aptos"/>
                <w:b w:val="0"/>
                <w:color w:val="17313B"/>
                <w:sz w:val="17"/>
              </w:rPr>
              <w:t>01/09/2026 – 27/09/2026</w:t>
            </w:r>
          </w:p>
        </w:tc>
        <w:tc>
          <w:tcPr>
            <w:tcW w:type="dxa" w:w="3324"/>
            <w:vAlign w:val="center"/>
            <w:shd w:fill="F1F6F7"/>
          </w:tcPr>
          <w:p>
            <w:r/>
            <w:r>
              <w:rPr>
                <w:rFonts w:ascii="Aptos" w:hAnsi="Aptos"/>
                <w:b w:val="0"/>
                <w:color w:val="17313B"/>
                <w:sz w:val="17"/>
              </w:rPr>
              <w:t>Comparar modelos sin reajuste futuro.</w:t>
            </w:r>
          </w:p>
        </w:tc>
      </w:tr>
      <w:tr>
        <w:tc>
          <w:tcPr>
            <w:tcW w:type="dxa" w:w="3324"/>
            <w:vAlign w:val="center"/>
          </w:tcPr>
          <w:p>
            <w:r/>
            <w:r>
              <w:rPr>
                <w:rFonts w:ascii="Aptos" w:hAnsi="Aptos"/>
                <w:b w:val="0"/>
                <w:color w:val="17313B"/>
                <w:sz w:val="17"/>
              </w:rPr>
              <w:t>Operación</w:t>
            </w:r>
          </w:p>
        </w:tc>
        <w:tc>
          <w:tcPr>
            <w:tcW w:type="dxa" w:w="3324"/>
            <w:vAlign w:val="center"/>
          </w:tcPr>
          <w:p>
            <w:r/>
            <w:r>
              <w:rPr>
                <w:rFonts w:ascii="Aptos" w:hAnsi="Aptos"/>
                <w:b w:val="0"/>
                <w:color w:val="17313B"/>
                <w:sz w:val="17"/>
              </w:rPr>
              <w:t>Desde 28/09/2026</w:t>
            </w:r>
          </w:p>
        </w:tc>
        <w:tc>
          <w:tcPr>
            <w:tcW w:type="dxa" w:w="3324"/>
            <w:vAlign w:val="center"/>
          </w:tcPr>
          <w:p>
            <w:r/>
            <w:r>
              <w:rPr>
                <w:rFonts w:ascii="Aptos" w:hAnsi="Aptos"/>
                <w:b w:val="0"/>
                <w:color w:val="17313B"/>
                <w:sz w:val="17"/>
              </w:rPr>
              <w:t>Actualizar con datos confirmados.</w:t>
            </w:r>
          </w:p>
        </w:tc>
      </w:tr>
    </w:tbl>
    <w:p>
      <w:pPr>
        <w:pStyle w:val="Heading2"/>
        <w:spacing w:before="160" w:after="160"/>
      </w:pPr>
      <w:r>
        <w:t>Métricas</w:t>
      </w:r>
    </w:p>
    <w:p>
      <w:pPr>
        <w:pStyle w:val="ListBullet"/>
        <w:spacing w:after="80"/>
      </w:pPr>
      <w:r>
        <w:t>MAE: error absoluto medio en MW; es la métrica principal.</w:t>
      </w:r>
    </w:p>
    <w:p>
      <w:pPr>
        <w:pStyle w:val="ListBullet"/>
        <w:spacing w:after="80"/>
      </w:pPr>
      <w:r>
        <w:t>RMSE: penaliza con mayor fuerza los errores grandes.</w:t>
      </w:r>
    </w:p>
    <w:p>
      <w:pPr>
        <w:pStyle w:val="ListBullet"/>
        <w:spacing w:after="80"/>
      </w:pPr>
      <w:r>
        <w:t>MAPE: expresa el error relativo porcentual.</w:t>
      </w:r>
    </w:p>
    <w:p>
      <w:pPr>
        <w:pStyle w:val="ListBullet"/>
        <w:spacing w:after="80"/>
      </w:pPr>
      <w:r>
        <w:t>Sesgo: identifica sobreestimación o subestimación persistente.</w:t>
      </w:r>
    </w:p>
    <w:p>
      <w:pPr>
        <w:pStyle w:val="Heading2"/>
        <w:spacing w:before="160" w:after="160"/>
      </w:pPr>
      <w:r>
        <w:t>Control de fuga temporal</w:t>
      </w:r>
    </w:p>
    <w:p>
      <w:pPr>
        <w:spacing w:after="140" w:line="269" w:lineRule="auto"/>
      </w:pPr>
      <w:r>
        <w:t>Los retardos se desplazan antes de calcular variables y cada versión de reprogramación se registra con su hora de consulta. La comparación operativa usa la última versión que existía al emitir el pronóstico, nunca una revisión posterior.</w:t>
      </w:r>
    </w:p>
    <w:p>
      <w:r>
        <w:br w:type="page"/>
      </w:r>
    </w:p>
    <w:p>
      <w:pPr>
        <w:pStyle w:val="Heading1"/>
        <w:spacing w:before="80" w:after="160"/>
      </w:pPr>
      <w:r>
        <w:t>6. Resultados oficiales</w:t>
      </w:r>
    </w:p>
    <w:p>
      <w:r>
        <w:drawing>
          <wp:inline xmlns:a="http://schemas.openxmlformats.org/drawingml/2006/main" xmlns:pic="http://schemas.openxmlformats.org/drawingml/2006/picture">
            <wp:extent cx="6217920" cy="3197787"/>
            <wp:docPr id="2" name="Picture 2"/>
            <wp:cNvGraphicFramePr>
              <a:graphicFrameLocks noChangeAspect="1"/>
            </wp:cNvGraphicFramePr>
            <a:graphic>
              <a:graphicData uri="http://schemas.openxmlformats.org/drawingml/2006/picture">
                <pic:pic>
                  <pic:nvPicPr>
                    <pic:cNvPr id="0" name="resultados_mae.png"/>
                    <pic:cNvPicPr/>
                  </pic:nvPicPr>
                  <pic:blipFill>
                    <a:blip r:embed="rId11"/>
                    <a:stretch>
                      <a:fillRect/>
                    </a:stretch>
                  </pic:blipFill>
                  <pic:spPr>
                    <a:xfrm>
                      <a:off x="0" y="0"/>
                      <a:ext cx="6217920" cy="3197787"/>
                    </a:xfrm>
                    <a:prstGeom prst="rect"/>
                  </pic:spPr>
                </pic:pic>
              </a:graphicData>
            </a:graphic>
          </wp:inline>
        </w:drawing>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071A22"/>
            <w:vAlign w:val="center"/>
          </w:tcPr>
          <w:p>
            <w:r/>
            <w:r>
              <w:rPr>
                <w:rFonts w:ascii="Aptos" w:hAnsi="Aptos"/>
                <w:b/>
                <w:color w:val="FFFFFF"/>
                <w:sz w:val="18"/>
              </w:rPr>
              <w:t>Horizonte</w:t>
            </w:r>
          </w:p>
        </w:tc>
        <w:tc>
          <w:tcPr>
            <w:tcW w:type="dxa" w:w="1662"/>
            <w:shd w:fill="071A22"/>
            <w:vAlign w:val="center"/>
          </w:tcPr>
          <w:p>
            <w:r/>
            <w:r>
              <w:rPr>
                <w:rFonts w:ascii="Aptos" w:hAnsi="Aptos"/>
                <w:b/>
                <w:color w:val="FFFFFF"/>
                <w:sz w:val="18"/>
              </w:rPr>
              <w:t>Modelo LDS</w:t>
            </w:r>
          </w:p>
        </w:tc>
        <w:tc>
          <w:tcPr>
            <w:tcW w:type="dxa" w:w="1662"/>
            <w:shd w:fill="071A22"/>
            <w:vAlign w:val="center"/>
          </w:tcPr>
          <w:p>
            <w:r/>
            <w:r>
              <w:rPr>
                <w:rFonts w:ascii="Aptos" w:hAnsi="Aptos"/>
                <w:b/>
                <w:color w:val="FFFFFF"/>
                <w:sz w:val="18"/>
              </w:rPr>
              <w:t>Diaria</w:t>
            </w:r>
          </w:p>
        </w:tc>
        <w:tc>
          <w:tcPr>
            <w:tcW w:type="dxa" w:w="1662"/>
            <w:shd w:fill="071A22"/>
            <w:vAlign w:val="center"/>
          </w:tcPr>
          <w:p>
            <w:r/>
            <w:r>
              <w:rPr>
                <w:rFonts w:ascii="Aptos" w:hAnsi="Aptos"/>
                <w:b/>
                <w:color w:val="FFFFFF"/>
                <w:sz w:val="18"/>
              </w:rPr>
              <w:t>Semanal</w:t>
            </w:r>
          </w:p>
        </w:tc>
        <w:tc>
          <w:tcPr>
            <w:tcW w:type="dxa" w:w="1662"/>
            <w:shd w:fill="071A22"/>
            <w:vAlign w:val="center"/>
          </w:tcPr>
          <w:p>
            <w:r/>
            <w:r>
              <w:rPr>
                <w:rFonts w:ascii="Aptos" w:hAnsi="Aptos"/>
                <w:b/>
                <w:color w:val="FFFFFF"/>
                <w:sz w:val="18"/>
              </w:rPr>
              <w:t>Persistencia</w:t>
            </w:r>
          </w:p>
        </w:tc>
        <w:tc>
          <w:tcPr>
            <w:tcW w:type="dxa" w:w="1662"/>
            <w:shd w:fill="071A22"/>
            <w:vAlign w:val="center"/>
          </w:tcPr>
          <w:p>
            <w:r/>
            <w:r>
              <w:rPr>
                <w:rFonts w:ascii="Aptos" w:hAnsi="Aptos"/>
                <w:b/>
                <w:color w:val="FFFFFF"/>
                <w:sz w:val="18"/>
              </w:rPr>
              <w:t>Mejora vs diaria</w:t>
            </w:r>
          </w:p>
        </w:tc>
      </w:tr>
      <w:tr>
        <w:tc>
          <w:tcPr>
            <w:tcW w:type="dxa" w:w="1662"/>
            <w:vAlign w:val="center"/>
          </w:tcPr>
          <w:p>
            <w:r/>
            <w:r>
              <w:rPr>
                <w:rFonts w:ascii="Aptos" w:hAnsi="Aptos"/>
                <w:b w:val="0"/>
                <w:color w:val="17313B"/>
                <w:sz w:val="17"/>
              </w:rPr>
              <w:t>6 h</w:t>
            </w:r>
          </w:p>
        </w:tc>
        <w:tc>
          <w:tcPr>
            <w:tcW w:type="dxa" w:w="1662"/>
            <w:vAlign w:val="center"/>
          </w:tcPr>
          <w:p>
            <w:r/>
            <w:r>
              <w:rPr>
                <w:rFonts w:ascii="Aptos" w:hAnsi="Aptos"/>
                <w:b w:val="0"/>
                <w:color w:val="17313B"/>
                <w:sz w:val="17"/>
              </w:rPr>
              <w:t>83,6</w:t>
            </w:r>
          </w:p>
        </w:tc>
        <w:tc>
          <w:tcPr>
            <w:tcW w:type="dxa" w:w="1662"/>
            <w:vAlign w:val="center"/>
          </w:tcPr>
          <w:p>
            <w:r/>
            <w:r>
              <w:rPr>
                <w:rFonts w:ascii="Aptos" w:hAnsi="Aptos"/>
                <w:b w:val="0"/>
                <w:color w:val="17313B"/>
                <w:sz w:val="17"/>
              </w:rPr>
              <w:t>95,2</w:t>
            </w:r>
          </w:p>
        </w:tc>
        <w:tc>
          <w:tcPr>
            <w:tcW w:type="dxa" w:w="1662"/>
            <w:vAlign w:val="center"/>
          </w:tcPr>
          <w:p>
            <w:r/>
            <w:r>
              <w:rPr>
                <w:rFonts w:ascii="Aptos" w:hAnsi="Aptos"/>
                <w:b w:val="0"/>
                <w:color w:val="17313B"/>
                <w:sz w:val="17"/>
              </w:rPr>
              <w:t>118,2</w:t>
            </w:r>
          </w:p>
        </w:tc>
        <w:tc>
          <w:tcPr>
            <w:tcW w:type="dxa" w:w="1662"/>
            <w:vAlign w:val="center"/>
          </w:tcPr>
          <w:p>
            <w:r/>
            <w:r>
              <w:rPr>
                <w:rFonts w:ascii="Aptos" w:hAnsi="Aptos"/>
                <w:b w:val="0"/>
                <w:color w:val="17313B"/>
                <w:sz w:val="17"/>
              </w:rPr>
              <w:t>240,7</w:t>
            </w:r>
          </w:p>
        </w:tc>
        <w:tc>
          <w:tcPr>
            <w:tcW w:type="dxa" w:w="1662"/>
            <w:vAlign w:val="center"/>
          </w:tcPr>
          <w:p>
            <w:r/>
            <w:r>
              <w:rPr>
                <w:rFonts w:ascii="Aptos" w:hAnsi="Aptos"/>
                <w:b w:val="0"/>
                <w:color w:val="17313B"/>
                <w:sz w:val="17"/>
              </w:rPr>
              <w:t>12,3 %</w:t>
            </w:r>
          </w:p>
        </w:tc>
      </w:tr>
      <w:tr>
        <w:tc>
          <w:tcPr>
            <w:tcW w:type="dxa" w:w="1662"/>
            <w:vAlign w:val="center"/>
            <w:shd w:fill="F1F6F7"/>
          </w:tcPr>
          <w:p>
            <w:r/>
            <w:r>
              <w:rPr>
                <w:rFonts w:ascii="Aptos" w:hAnsi="Aptos"/>
                <w:b w:val="0"/>
                <w:color w:val="17313B"/>
                <w:sz w:val="17"/>
              </w:rPr>
              <w:t>12 h</w:t>
            </w:r>
          </w:p>
        </w:tc>
        <w:tc>
          <w:tcPr>
            <w:tcW w:type="dxa" w:w="1662"/>
            <w:vAlign w:val="center"/>
            <w:shd w:fill="F1F6F7"/>
          </w:tcPr>
          <w:p>
            <w:r/>
            <w:r>
              <w:rPr>
                <w:rFonts w:ascii="Aptos" w:hAnsi="Aptos"/>
                <w:b w:val="0"/>
                <w:color w:val="17313B"/>
                <w:sz w:val="17"/>
              </w:rPr>
              <w:t>90,3</w:t>
            </w:r>
          </w:p>
        </w:tc>
        <w:tc>
          <w:tcPr>
            <w:tcW w:type="dxa" w:w="1662"/>
            <w:vAlign w:val="center"/>
            <w:shd w:fill="F1F6F7"/>
          </w:tcPr>
          <w:p>
            <w:r/>
            <w:r>
              <w:rPr>
                <w:rFonts w:ascii="Aptos" w:hAnsi="Aptos"/>
                <w:b w:val="0"/>
                <w:color w:val="17313B"/>
                <w:sz w:val="17"/>
              </w:rPr>
              <w:t>95,2</w:t>
            </w:r>
          </w:p>
        </w:tc>
        <w:tc>
          <w:tcPr>
            <w:tcW w:type="dxa" w:w="1662"/>
            <w:vAlign w:val="center"/>
            <w:shd w:fill="F1F6F7"/>
          </w:tcPr>
          <w:p>
            <w:r/>
            <w:r>
              <w:rPr>
                <w:rFonts w:ascii="Aptos" w:hAnsi="Aptos"/>
                <w:b w:val="0"/>
                <w:color w:val="17313B"/>
                <w:sz w:val="17"/>
              </w:rPr>
              <w:t>118,2</w:t>
            </w:r>
          </w:p>
        </w:tc>
        <w:tc>
          <w:tcPr>
            <w:tcW w:type="dxa" w:w="1662"/>
            <w:vAlign w:val="center"/>
            <w:shd w:fill="F1F6F7"/>
          </w:tcPr>
          <w:p>
            <w:r/>
            <w:r>
              <w:rPr>
                <w:rFonts w:ascii="Aptos" w:hAnsi="Aptos"/>
                <w:b w:val="0"/>
                <w:color w:val="17313B"/>
                <w:sz w:val="17"/>
              </w:rPr>
              <w:t>240,7</w:t>
            </w:r>
          </w:p>
        </w:tc>
        <w:tc>
          <w:tcPr>
            <w:tcW w:type="dxa" w:w="1662"/>
            <w:vAlign w:val="center"/>
            <w:shd w:fill="F1F6F7"/>
          </w:tcPr>
          <w:p>
            <w:r/>
            <w:r>
              <w:rPr>
                <w:rFonts w:ascii="Aptos" w:hAnsi="Aptos"/>
                <w:b w:val="0"/>
                <w:color w:val="17313B"/>
                <w:sz w:val="17"/>
              </w:rPr>
              <w:t>5,1 %</w:t>
            </w:r>
          </w:p>
        </w:tc>
      </w:tr>
      <w:tr>
        <w:tc>
          <w:tcPr>
            <w:tcW w:type="dxa" w:w="1662"/>
            <w:vAlign w:val="center"/>
          </w:tcPr>
          <w:p>
            <w:r/>
            <w:r>
              <w:rPr>
                <w:rFonts w:ascii="Aptos" w:hAnsi="Aptos"/>
                <w:b w:val="0"/>
                <w:color w:val="17313B"/>
                <w:sz w:val="17"/>
              </w:rPr>
              <w:t>24 h</w:t>
            </w:r>
          </w:p>
        </w:tc>
        <w:tc>
          <w:tcPr>
            <w:tcW w:type="dxa" w:w="1662"/>
            <w:vAlign w:val="center"/>
          </w:tcPr>
          <w:p>
            <w:r/>
            <w:r>
              <w:rPr>
                <w:rFonts w:ascii="Aptos" w:hAnsi="Aptos"/>
                <w:b w:val="0"/>
                <w:color w:val="17313B"/>
                <w:sz w:val="17"/>
              </w:rPr>
              <w:t>88,7</w:t>
            </w:r>
          </w:p>
        </w:tc>
        <w:tc>
          <w:tcPr>
            <w:tcW w:type="dxa" w:w="1662"/>
            <w:vAlign w:val="center"/>
          </w:tcPr>
          <w:p>
            <w:r/>
            <w:r>
              <w:rPr>
                <w:rFonts w:ascii="Aptos" w:hAnsi="Aptos"/>
                <w:b w:val="0"/>
                <w:color w:val="17313B"/>
                <w:sz w:val="17"/>
              </w:rPr>
              <w:t>95,2</w:t>
            </w:r>
          </w:p>
        </w:tc>
        <w:tc>
          <w:tcPr>
            <w:tcW w:type="dxa" w:w="1662"/>
            <w:vAlign w:val="center"/>
          </w:tcPr>
          <w:p>
            <w:r/>
            <w:r>
              <w:rPr>
                <w:rFonts w:ascii="Aptos" w:hAnsi="Aptos"/>
                <w:b w:val="0"/>
                <w:color w:val="17313B"/>
                <w:sz w:val="17"/>
              </w:rPr>
              <w:t>118,2</w:t>
            </w:r>
          </w:p>
        </w:tc>
        <w:tc>
          <w:tcPr>
            <w:tcW w:type="dxa" w:w="1662"/>
            <w:vAlign w:val="center"/>
          </w:tcPr>
          <w:p>
            <w:r/>
            <w:r>
              <w:rPr>
                <w:rFonts w:ascii="Aptos" w:hAnsi="Aptos"/>
                <w:b w:val="0"/>
                <w:color w:val="17313B"/>
                <w:sz w:val="17"/>
              </w:rPr>
              <w:t>240,7</w:t>
            </w:r>
          </w:p>
        </w:tc>
        <w:tc>
          <w:tcPr>
            <w:tcW w:type="dxa" w:w="1662"/>
            <w:vAlign w:val="center"/>
          </w:tcPr>
          <w:p>
            <w:r/>
            <w:r>
              <w:rPr>
                <w:rFonts w:ascii="Aptos" w:hAnsi="Aptos"/>
                <w:b w:val="0"/>
                <w:color w:val="17313B"/>
                <w:sz w:val="17"/>
              </w:rPr>
              <w:t>6,9 %</w:t>
            </w:r>
          </w:p>
        </w:tc>
      </w:tr>
    </w:tbl>
    <w:p>
      <w:pPr>
        <w:spacing w:after="140" w:line="269" w:lineRule="auto"/>
      </w:pPr>
      <w:r>
        <w:t>El modelo reduce el MAE frente a la Programación Diaria en los tres horizontes. El mayor beneficio aparece a 6 horas, donde la información reciente tiene mayor capacidad de corregir el nivel y la rampa de la demanda.</w:t>
      </w:r>
    </w:p>
    <w:p>
      <w:pPr>
        <w:spacing w:after="140" w:line="269" w:lineRule="auto"/>
      </w:pPr>
      <w:r>
        <w:t>Los MAPE del modelo se sitúan entre 1,11 % y 1,20 %. El sesgo permanece cercano a cero, con valores de -3,2 MW, 1,6 MW y -5,2 MW para 6, 12 y 24 horas.</w:t>
      </w:r>
    </w:p>
    <w:p>
      <w:r>
        <w:br w:type="page"/>
      </w:r>
    </w:p>
    <w:p>
      <w:pPr>
        <w:pStyle w:val="Heading1"/>
        <w:spacing w:before="80" w:after="160"/>
      </w:pPr>
      <w:r>
        <w:t>7. Corrección de reprogramaciones</w:t>
      </w:r>
    </w:p>
    <w:p>
      <w:pPr>
        <w:spacing w:after="140" w:line="269" w:lineRule="auto"/>
      </w:pPr>
      <w:r>
        <w:t>Se evaluó un segundo enfoque que parte de la última reprogramación y aprende su error con modelos directos por horizonte. HistGradientBoosting resultó ganador a 30 minutos y Ridge en los horizontes restantes.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071A22"/>
            <w:vAlign w:val="center"/>
          </w:tcPr>
          <w:p>
            <w:r/>
            <w:r>
              <w:rPr>
                <w:rFonts w:ascii="Aptos" w:hAnsi="Aptos"/>
                <w:b/>
                <w:color w:val="FFFFFF"/>
                <w:sz w:val="18"/>
              </w:rPr>
              <w:t>Horizonte</w:t>
            </w:r>
          </w:p>
        </w:tc>
        <w:tc>
          <w:tcPr>
            <w:tcW w:type="dxa" w:w="1994"/>
            <w:shd w:fill="071A22"/>
            <w:vAlign w:val="center"/>
          </w:tcPr>
          <w:p>
            <w:r/>
            <w:r>
              <w:rPr>
                <w:rFonts w:ascii="Aptos" w:hAnsi="Aptos"/>
                <w:b/>
                <w:color w:val="FFFFFF"/>
                <w:sz w:val="18"/>
              </w:rPr>
              <w:t>RDO MAE</w:t>
            </w:r>
          </w:p>
        </w:tc>
        <w:tc>
          <w:tcPr>
            <w:tcW w:type="dxa" w:w="1994"/>
            <w:shd w:fill="071A22"/>
            <w:vAlign w:val="center"/>
          </w:tcPr>
          <w:p>
            <w:r/>
            <w:r>
              <w:rPr>
                <w:rFonts w:ascii="Aptos" w:hAnsi="Aptos"/>
                <w:b/>
                <w:color w:val="FFFFFF"/>
                <w:sz w:val="18"/>
              </w:rPr>
              <w:t>Modelo MAE</w:t>
            </w:r>
          </w:p>
        </w:tc>
        <w:tc>
          <w:tcPr>
            <w:tcW w:type="dxa" w:w="1994"/>
            <w:shd w:fill="071A22"/>
            <w:vAlign w:val="center"/>
          </w:tcPr>
          <w:p>
            <w:r/>
            <w:r>
              <w:rPr>
                <w:rFonts w:ascii="Aptos" w:hAnsi="Aptos"/>
                <w:b/>
                <w:color w:val="FFFFFF"/>
                <w:sz w:val="18"/>
              </w:rPr>
              <w:t>Mejora</w:t>
            </w:r>
          </w:p>
        </w:tc>
        <w:tc>
          <w:tcPr>
            <w:tcW w:type="dxa" w:w="1994"/>
            <w:shd w:fill="071A22"/>
            <w:vAlign w:val="center"/>
          </w:tcPr>
          <w:p>
            <w:r/>
            <w:r>
              <w:rPr>
                <w:rFonts w:ascii="Aptos" w:hAnsi="Aptos"/>
                <w:b/>
                <w:color w:val="FFFFFF"/>
                <w:sz w:val="18"/>
              </w:rPr>
              <w:t>Intervalos ganados</w:t>
            </w:r>
          </w:p>
        </w:tc>
      </w:tr>
      <w:tr>
        <w:tc>
          <w:tcPr>
            <w:tcW w:type="dxa" w:w="1994"/>
            <w:vAlign w:val="center"/>
          </w:tcPr>
          <w:p>
            <w:r/>
            <w:r>
              <w:rPr>
                <w:rFonts w:ascii="Aptos" w:hAnsi="Aptos"/>
                <w:b w:val="0"/>
                <w:color w:val="17313B"/>
                <w:sz w:val="17"/>
              </w:rPr>
              <w:t>0,5 h</w:t>
            </w:r>
          </w:p>
        </w:tc>
        <w:tc>
          <w:tcPr>
            <w:tcW w:type="dxa" w:w="1994"/>
            <w:vAlign w:val="center"/>
          </w:tcPr>
          <w:p>
            <w:r/>
            <w:r>
              <w:rPr>
                <w:rFonts w:ascii="Aptos" w:hAnsi="Aptos"/>
                <w:b w:val="0"/>
                <w:color w:val="17313B"/>
                <w:sz w:val="17"/>
              </w:rPr>
              <w:t>86,3</w:t>
            </w:r>
          </w:p>
        </w:tc>
        <w:tc>
          <w:tcPr>
            <w:tcW w:type="dxa" w:w="1994"/>
            <w:vAlign w:val="center"/>
          </w:tcPr>
          <w:p>
            <w:r/>
            <w:r>
              <w:rPr>
                <w:rFonts w:ascii="Aptos" w:hAnsi="Aptos"/>
                <w:b w:val="0"/>
                <w:color w:val="17313B"/>
                <w:sz w:val="17"/>
              </w:rPr>
              <w:t>52,3</w:t>
            </w:r>
          </w:p>
        </w:tc>
        <w:tc>
          <w:tcPr>
            <w:tcW w:type="dxa" w:w="1994"/>
            <w:vAlign w:val="center"/>
          </w:tcPr>
          <w:p>
            <w:r/>
            <w:r>
              <w:rPr>
                <w:rFonts w:ascii="Aptos" w:hAnsi="Aptos"/>
                <w:b w:val="0"/>
                <w:color w:val="17313B"/>
                <w:sz w:val="17"/>
              </w:rPr>
              <w:t>39,5 %</w:t>
            </w:r>
          </w:p>
        </w:tc>
        <w:tc>
          <w:tcPr>
            <w:tcW w:type="dxa" w:w="1994"/>
            <w:vAlign w:val="center"/>
          </w:tcPr>
          <w:p>
            <w:r/>
            <w:r>
              <w:rPr>
                <w:rFonts w:ascii="Aptos" w:hAnsi="Aptos"/>
                <w:b w:val="0"/>
                <w:color w:val="17313B"/>
                <w:sz w:val="17"/>
              </w:rPr>
              <w:t>70,0 %</w:t>
            </w:r>
          </w:p>
        </w:tc>
      </w:tr>
      <w:tr>
        <w:tc>
          <w:tcPr>
            <w:tcW w:type="dxa" w:w="1994"/>
            <w:vAlign w:val="center"/>
            <w:shd w:fill="F1F6F7"/>
          </w:tcPr>
          <w:p>
            <w:r/>
            <w:r>
              <w:rPr>
                <w:rFonts w:ascii="Aptos" w:hAnsi="Aptos"/>
                <w:b w:val="0"/>
                <w:color w:val="17313B"/>
                <w:sz w:val="17"/>
              </w:rPr>
              <w:t>6 h</w:t>
            </w:r>
          </w:p>
        </w:tc>
        <w:tc>
          <w:tcPr>
            <w:tcW w:type="dxa" w:w="1994"/>
            <w:vAlign w:val="center"/>
            <w:shd w:fill="F1F6F7"/>
          </w:tcPr>
          <w:p>
            <w:r/>
            <w:r>
              <w:rPr>
                <w:rFonts w:ascii="Aptos" w:hAnsi="Aptos"/>
                <w:b w:val="0"/>
                <w:color w:val="17313B"/>
                <w:sz w:val="17"/>
              </w:rPr>
              <w:t>86,3</w:t>
            </w:r>
          </w:p>
        </w:tc>
        <w:tc>
          <w:tcPr>
            <w:tcW w:type="dxa" w:w="1994"/>
            <w:vAlign w:val="center"/>
            <w:shd w:fill="F1F6F7"/>
          </w:tcPr>
          <w:p>
            <w:r/>
            <w:r>
              <w:rPr>
                <w:rFonts w:ascii="Aptos" w:hAnsi="Aptos"/>
                <w:b w:val="0"/>
                <w:color w:val="17313B"/>
                <w:sz w:val="17"/>
              </w:rPr>
              <w:t>83,1</w:t>
            </w:r>
          </w:p>
        </w:tc>
        <w:tc>
          <w:tcPr>
            <w:tcW w:type="dxa" w:w="1994"/>
            <w:vAlign w:val="center"/>
            <w:shd w:fill="F1F6F7"/>
          </w:tcPr>
          <w:p>
            <w:r/>
            <w:r>
              <w:rPr>
                <w:rFonts w:ascii="Aptos" w:hAnsi="Aptos"/>
                <w:b w:val="0"/>
                <w:color w:val="17313B"/>
                <w:sz w:val="17"/>
              </w:rPr>
              <w:t>3,7 %</w:t>
            </w:r>
          </w:p>
        </w:tc>
        <w:tc>
          <w:tcPr>
            <w:tcW w:type="dxa" w:w="1994"/>
            <w:vAlign w:val="center"/>
            <w:shd w:fill="F1F6F7"/>
          </w:tcPr>
          <w:p>
            <w:r/>
            <w:r>
              <w:rPr>
                <w:rFonts w:ascii="Aptos" w:hAnsi="Aptos"/>
                <w:b w:val="0"/>
                <w:color w:val="17313B"/>
                <w:sz w:val="17"/>
              </w:rPr>
              <w:t>52,3 %</w:t>
            </w:r>
          </w:p>
        </w:tc>
      </w:tr>
      <w:tr>
        <w:tc>
          <w:tcPr>
            <w:tcW w:type="dxa" w:w="1994"/>
            <w:vAlign w:val="center"/>
          </w:tcPr>
          <w:p>
            <w:r/>
            <w:r>
              <w:rPr>
                <w:rFonts w:ascii="Aptos" w:hAnsi="Aptos"/>
                <w:b w:val="0"/>
                <w:color w:val="17313B"/>
                <w:sz w:val="17"/>
              </w:rPr>
              <w:t>12 h</w:t>
            </w:r>
          </w:p>
        </w:tc>
        <w:tc>
          <w:tcPr>
            <w:tcW w:type="dxa" w:w="1994"/>
            <w:vAlign w:val="center"/>
          </w:tcPr>
          <w:p>
            <w:r/>
            <w:r>
              <w:rPr>
                <w:rFonts w:ascii="Aptos" w:hAnsi="Aptos"/>
                <w:b w:val="0"/>
                <w:color w:val="17313B"/>
                <w:sz w:val="17"/>
              </w:rPr>
              <w:t>86,3</w:t>
            </w:r>
          </w:p>
        </w:tc>
        <w:tc>
          <w:tcPr>
            <w:tcW w:type="dxa" w:w="1994"/>
            <w:vAlign w:val="center"/>
          </w:tcPr>
          <w:p>
            <w:r/>
            <w:r>
              <w:rPr>
                <w:rFonts w:ascii="Aptos" w:hAnsi="Aptos"/>
                <w:b w:val="0"/>
                <w:color w:val="17313B"/>
                <w:sz w:val="17"/>
              </w:rPr>
              <w:t>80,8</w:t>
            </w:r>
          </w:p>
        </w:tc>
        <w:tc>
          <w:tcPr>
            <w:tcW w:type="dxa" w:w="1994"/>
            <w:vAlign w:val="center"/>
          </w:tcPr>
          <w:p>
            <w:r/>
            <w:r>
              <w:rPr>
                <w:rFonts w:ascii="Aptos" w:hAnsi="Aptos"/>
                <w:b w:val="0"/>
                <w:color w:val="17313B"/>
                <w:sz w:val="17"/>
              </w:rPr>
              <w:t>6,4 %</w:t>
            </w:r>
          </w:p>
        </w:tc>
        <w:tc>
          <w:tcPr>
            <w:tcW w:type="dxa" w:w="1994"/>
            <w:vAlign w:val="center"/>
          </w:tcPr>
          <w:p>
            <w:r/>
            <w:r>
              <w:rPr>
                <w:rFonts w:ascii="Aptos" w:hAnsi="Aptos"/>
                <w:b w:val="0"/>
                <w:color w:val="17313B"/>
                <w:sz w:val="17"/>
              </w:rPr>
              <w:t>55,5 %</w:t>
            </w:r>
          </w:p>
        </w:tc>
      </w:tr>
      <w:tr>
        <w:tc>
          <w:tcPr>
            <w:tcW w:type="dxa" w:w="1994"/>
            <w:vAlign w:val="center"/>
            <w:shd w:fill="F1F6F7"/>
          </w:tcPr>
          <w:p>
            <w:r/>
            <w:r>
              <w:rPr>
                <w:rFonts w:ascii="Aptos" w:hAnsi="Aptos"/>
                <w:b w:val="0"/>
                <w:color w:val="17313B"/>
                <w:sz w:val="17"/>
              </w:rPr>
              <w:t>24 h</w:t>
            </w:r>
          </w:p>
        </w:tc>
        <w:tc>
          <w:tcPr>
            <w:tcW w:type="dxa" w:w="1994"/>
            <w:vAlign w:val="center"/>
            <w:shd w:fill="F1F6F7"/>
          </w:tcPr>
          <w:p>
            <w:r/>
            <w:r>
              <w:rPr>
                <w:rFonts w:ascii="Aptos" w:hAnsi="Aptos"/>
                <w:b w:val="0"/>
                <w:color w:val="17313B"/>
                <w:sz w:val="17"/>
              </w:rPr>
              <w:t>86,3</w:t>
            </w:r>
          </w:p>
        </w:tc>
        <w:tc>
          <w:tcPr>
            <w:tcW w:type="dxa" w:w="1994"/>
            <w:vAlign w:val="center"/>
            <w:shd w:fill="F1F6F7"/>
          </w:tcPr>
          <w:p>
            <w:r/>
            <w:r>
              <w:rPr>
                <w:rFonts w:ascii="Aptos" w:hAnsi="Aptos"/>
                <w:b w:val="0"/>
                <w:color w:val="17313B"/>
                <w:sz w:val="17"/>
              </w:rPr>
              <w:t>82,9</w:t>
            </w:r>
          </w:p>
        </w:tc>
        <w:tc>
          <w:tcPr>
            <w:tcW w:type="dxa" w:w="1994"/>
            <w:vAlign w:val="center"/>
            <w:shd w:fill="F1F6F7"/>
          </w:tcPr>
          <w:p>
            <w:r/>
            <w:r>
              <w:rPr>
                <w:rFonts w:ascii="Aptos" w:hAnsi="Aptos"/>
                <w:b w:val="0"/>
                <w:color w:val="17313B"/>
                <w:sz w:val="17"/>
              </w:rPr>
              <w:t>4,0 %</w:t>
            </w:r>
          </w:p>
        </w:tc>
        <w:tc>
          <w:tcPr>
            <w:tcW w:type="dxa" w:w="1994"/>
            <w:vAlign w:val="center"/>
            <w:shd w:fill="F1F6F7"/>
          </w:tcPr>
          <w:p>
            <w:r/>
            <w:r>
              <w:rPr>
                <w:rFonts w:ascii="Aptos" w:hAnsi="Aptos"/>
                <w:b w:val="0"/>
                <w:color w:val="17313B"/>
                <w:sz w:val="17"/>
              </w:rPr>
              <w:t>53,6 %</w:t>
            </w:r>
          </w:p>
        </w:tc>
      </w:tr>
    </w:tbl>
    <w:p>
      <w:pPr>
        <w:pStyle w:val="Heading2"/>
        <w:spacing w:before="160" w:after="160"/>
      </w:pPr>
      <w:r>
        <w:t>Interpretación correcta</w:t>
      </w:r>
    </w:p>
    <w:p>
      <w:pPr>
        <w:spacing w:after="140" w:line="269" w:lineRule="auto"/>
      </w:pPr>
      <w:r>
        <w:t>Estos resultados representan potencial histórico, pero no sustituyen la validación operativa. La consulta histórica puede devolver la versión final del día sin indicar exactamente cuándo se publicó. El monitor de versiones resuelve esta limitación hacia adelante y permitirá medir el resultado con trazabilidad completa.</w:t>
      </w:r>
    </w:p>
    <w:p>
      <w:pPr>
        <w:spacing w:after="140" w:line="269" w:lineRule="auto"/>
      </w:pPr>
      <w:r>
        <w:t>En la aplicación, la corrección avanzada se usa cuando existe reprogramación disponible; en caso contrario, se conserva el pronóstico independiente. Esta combinación evita depender de una única fuente.</w:t>
      </w:r>
    </w:p>
    <w:p>
      <w:r>
        <w:br w:type="page"/>
      </w:r>
    </w:p>
    <w:p>
      <w:pPr>
        <w:pStyle w:val="Heading1"/>
        <w:spacing w:before="80" w:after="160"/>
      </w:pPr>
      <w:r>
        <w:t>8. Arquitectura y operación</w:t>
      </w:r>
    </w:p>
    <w:p>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panel_operativo.png"/>
                    <pic:cNvPicPr/>
                  </pic:nvPicPr>
                  <pic:blipFill>
                    <a:blip r:embed="rId12"/>
                    <a:stretch>
                      <a:fillRect/>
                    </a:stretch>
                  </pic:blipFill>
                  <pic:spPr>
                    <a:xfrm>
                      <a:off x="0" y="0"/>
                      <a:ext cx="6309360" cy="3549015"/>
                    </a:xfrm>
                    <a:prstGeom prst="rect"/>
                  </pic:spPr>
                </pic:pic>
              </a:graphicData>
            </a:graphic>
          </wp:inline>
        </w:drawing>
      </w:r>
    </w:p>
    <w:p>
      <w:pPr>
        <w:spacing w:after="140" w:line="269" w:lineRule="auto"/>
      </w:pPr>
      <w:r>
        <w:t>El panel presenta la última observación confirmada, el pico esperado y la curva de los siguientes 48 intervalos. Las tarjetas de 6, 12 y 24 horas se calculan sobre la misma emisión y no corresponden a modelos ejecutados en momentos distintos.</w:t>
      </w:r>
    </w:p>
    <w:tbl>
      <w:tblPr>
        <w:tblStyle w:val="TableGrid"/>
        <w:tblW w:type="auto" w:w="0"/>
        <w:jc w:val="center"/>
        <w:tblLook w:firstColumn="1" w:firstRow="1" w:lastColumn="0" w:lastRow="0" w:noHBand="0" w:noVBand="1" w:val="04A0"/>
      </w:tblPr>
      <w:tblGrid>
        <w:gridCol w:w="4986"/>
        <w:gridCol w:w="4986"/>
      </w:tblGrid>
      <w:tr>
        <w:tc>
          <w:tcPr>
            <w:tcW w:type="dxa" w:w="4986"/>
            <w:shd w:fill="071A22"/>
            <w:vAlign w:val="center"/>
          </w:tcPr>
          <w:p>
            <w:r/>
            <w:r>
              <w:rPr>
                <w:rFonts w:ascii="Aptos" w:hAnsi="Aptos"/>
                <w:b/>
                <w:color w:val="FFFFFF"/>
                <w:sz w:val="18"/>
              </w:rPr>
              <w:t>Paso</w:t>
            </w:r>
          </w:p>
        </w:tc>
        <w:tc>
          <w:tcPr>
            <w:tcW w:type="dxa" w:w="4986"/>
            <w:shd w:fill="071A22"/>
            <w:vAlign w:val="center"/>
          </w:tcPr>
          <w:p>
            <w:r/>
            <w:r>
              <w:rPr>
                <w:rFonts w:ascii="Aptos" w:hAnsi="Aptos"/>
                <w:b/>
                <w:color w:val="FFFFFF"/>
                <w:sz w:val="18"/>
              </w:rPr>
              <w:t>Componente</w:t>
            </w:r>
          </w:p>
        </w:tc>
      </w:tr>
      <w:tr>
        <w:tc>
          <w:tcPr>
            <w:tcW w:type="dxa" w:w="4986"/>
            <w:vAlign w:val="center"/>
          </w:tcPr>
          <w:p>
            <w:r/>
            <w:r>
              <w:rPr>
                <w:rFonts w:ascii="Aptos" w:hAnsi="Aptos"/>
                <w:b w:val="0"/>
                <w:color w:val="17313B"/>
                <w:sz w:val="17"/>
              </w:rPr>
              <w:t>1. Consulta</w:t>
            </w:r>
          </w:p>
        </w:tc>
        <w:tc>
          <w:tcPr>
            <w:tcW w:type="dxa" w:w="4986"/>
            <w:vAlign w:val="center"/>
          </w:tcPr>
          <w:p>
            <w:r/>
            <w:r>
              <w:rPr>
                <w:rFonts w:ascii="Aptos" w:hAnsi="Aptos"/>
                <w:b w:val="0"/>
                <w:color w:val="17313B"/>
                <w:sz w:val="17"/>
              </w:rPr>
              <w:t>API y portal COES.</w:t>
            </w:r>
          </w:p>
        </w:tc>
      </w:tr>
      <w:tr>
        <w:tc>
          <w:tcPr>
            <w:tcW w:type="dxa" w:w="4986"/>
            <w:vAlign w:val="center"/>
            <w:shd w:fill="F1F6F7"/>
          </w:tcPr>
          <w:p>
            <w:r/>
            <w:r>
              <w:rPr>
                <w:rFonts w:ascii="Aptos" w:hAnsi="Aptos"/>
                <w:b w:val="0"/>
                <w:color w:val="17313B"/>
                <w:sz w:val="17"/>
              </w:rPr>
              <w:t>2. Versionado</w:t>
            </w:r>
          </w:p>
        </w:tc>
        <w:tc>
          <w:tcPr>
            <w:tcW w:type="dxa" w:w="4986"/>
            <w:vAlign w:val="center"/>
            <w:shd w:fill="F1F6F7"/>
          </w:tcPr>
          <w:p>
            <w:r/>
            <w:r>
              <w:rPr>
                <w:rFonts w:ascii="Aptos" w:hAnsi="Aptos"/>
                <w:b w:val="0"/>
                <w:color w:val="17313B"/>
                <w:sz w:val="17"/>
              </w:rPr>
              <w:t>SQLite registra valor y hora de captura.</w:t>
            </w:r>
          </w:p>
        </w:tc>
      </w:tr>
      <w:tr>
        <w:tc>
          <w:tcPr>
            <w:tcW w:type="dxa" w:w="4986"/>
            <w:vAlign w:val="center"/>
          </w:tcPr>
          <w:p>
            <w:r/>
            <w:r>
              <w:rPr>
                <w:rFonts w:ascii="Aptos" w:hAnsi="Aptos"/>
                <w:b w:val="0"/>
                <w:color w:val="17313B"/>
                <w:sz w:val="17"/>
              </w:rPr>
              <w:t>3. Preparación</w:t>
            </w:r>
          </w:p>
        </w:tc>
        <w:tc>
          <w:tcPr>
            <w:tcW w:type="dxa" w:w="4986"/>
            <w:vAlign w:val="center"/>
          </w:tcPr>
          <w:p>
            <w:r/>
            <w:r>
              <w:rPr>
                <w:rFonts w:ascii="Aptos" w:hAnsi="Aptos"/>
                <w:b w:val="0"/>
                <w:color w:val="17313B"/>
                <w:sz w:val="17"/>
              </w:rPr>
              <w:t>Limpieza y variables temporales.</w:t>
            </w:r>
          </w:p>
        </w:tc>
      </w:tr>
      <w:tr>
        <w:tc>
          <w:tcPr>
            <w:tcW w:type="dxa" w:w="4986"/>
            <w:vAlign w:val="center"/>
            <w:shd w:fill="F1F6F7"/>
          </w:tcPr>
          <w:p>
            <w:r/>
            <w:r>
              <w:rPr>
                <w:rFonts w:ascii="Aptos" w:hAnsi="Aptos"/>
                <w:b w:val="0"/>
                <w:color w:val="17313B"/>
                <w:sz w:val="17"/>
              </w:rPr>
              <w:t>4. Entrenamiento</w:t>
            </w:r>
          </w:p>
        </w:tc>
        <w:tc>
          <w:tcPr>
            <w:tcW w:type="dxa" w:w="4986"/>
            <w:vAlign w:val="center"/>
            <w:shd w:fill="F1F6F7"/>
          </w:tcPr>
          <w:p>
            <w:r/>
            <w:r>
              <w:rPr>
                <w:rFonts w:ascii="Aptos" w:hAnsi="Aptos"/>
                <w:b w:val="0"/>
                <w:color w:val="17313B"/>
                <w:sz w:val="17"/>
              </w:rPr>
              <w:t>Ridge residual y correctores por horizonte.</w:t>
            </w:r>
          </w:p>
        </w:tc>
      </w:tr>
      <w:tr>
        <w:tc>
          <w:tcPr>
            <w:tcW w:type="dxa" w:w="4986"/>
            <w:vAlign w:val="center"/>
          </w:tcPr>
          <w:p>
            <w:r/>
            <w:r>
              <w:rPr>
                <w:rFonts w:ascii="Aptos" w:hAnsi="Aptos"/>
                <w:b w:val="0"/>
                <w:color w:val="17313B"/>
                <w:sz w:val="17"/>
              </w:rPr>
              <w:t>5. Predicción</w:t>
            </w:r>
          </w:p>
        </w:tc>
        <w:tc>
          <w:tcPr>
            <w:tcW w:type="dxa" w:w="4986"/>
            <w:vAlign w:val="center"/>
          </w:tcPr>
          <w:p>
            <w:r/>
            <w:r>
              <w:rPr>
                <w:rFonts w:ascii="Aptos" w:hAnsi="Aptos"/>
                <w:b w:val="0"/>
                <w:color w:val="17313B"/>
                <w:sz w:val="17"/>
              </w:rPr>
              <w:t>48 intervalos futuros.</w:t>
            </w:r>
          </w:p>
        </w:tc>
      </w:tr>
      <w:tr>
        <w:tc>
          <w:tcPr>
            <w:tcW w:type="dxa" w:w="4986"/>
            <w:vAlign w:val="center"/>
            <w:shd w:fill="F1F6F7"/>
          </w:tcPr>
          <w:p>
            <w:r/>
            <w:r>
              <w:rPr>
                <w:rFonts w:ascii="Aptos" w:hAnsi="Aptos"/>
                <w:b w:val="0"/>
                <w:color w:val="17313B"/>
                <w:sz w:val="17"/>
              </w:rPr>
              <w:t>6. Visualización</w:t>
            </w:r>
          </w:p>
        </w:tc>
        <w:tc>
          <w:tcPr>
            <w:tcW w:type="dxa" w:w="4986"/>
            <w:vAlign w:val="center"/>
            <w:shd w:fill="F1F6F7"/>
          </w:tcPr>
          <w:p>
            <w:r/>
            <w:r>
              <w:rPr>
                <w:rFonts w:ascii="Aptos" w:hAnsi="Aptos"/>
                <w:b w:val="0"/>
                <w:color w:val="17313B"/>
                <w:sz w:val="17"/>
              </w:rPr>
              <w:t>Servidor Node y panel web local.</w:t>
            </w:r>
          </w:p>
        </w:tc>
      </w:tr>
    </w:tbl>
    <w:p>
      <w:pPr>
        <w:spacing w:after="140" w:line="269" w:lineRule="auto"/>
      </w:pPr>
      <w:r>
        <w:t>El botón Actualizar ejecuta todo el flujo. Solo se incorporan observaciones cuya hora ya ocurrió y cuyo ejecutado fue publicado por COES.</w:t>
      </w:r>
    </w:p>
    <w:p>
      <w:r>
        <w:br w:type="page"/>
      </w:r>
    </w:p>
    <w:p>
      <w:pPr>
        <w:pStyle w:val="Heading1"/>
        <w:spacing w:before="80" w:after="160"/>
      </w:pPr>
      <w:r>
        <w:t>9. Reproducibilidad y despliegue</w:t>
      </w:r>
    </w:p>
    <w:p>
      <w:pPr>
        <w:pStyle w:val="Heading2"/>
        <w:spacing w:before="160" w:after="160"/>
      </w:pPr>
      <w:r>
        <w:t>Inicio en Windows</w:t>
      </w:r>
    </w:p>
    <w:p>
      <w:pPr>
        <w:pStyle w:val="ListBullet"/>
        <w:spacing w:after="80"/>
      </w:pPr>
      <w:r>
        <w:t>Ejecutar INSTALAR_DEPENDENCIAS.bat una sola vez.</w:t>
      </w:r>
    </w:p>
    <w:p>
      <w:pPr>
        <w:pStyle w:val="ListBullet"/>
        <w:spacing w:after="80"/>
      </w:pPr>
      <w:r>
        <w:t>Ejecutar ENTRENAR_MODELO.bat para reconstruir modelos y métricas.</w:t>
      </w:r>
    </w:p>
    <w:p>
      <w:pPr>
        <w:pStyle w:val="ListBullet"/>
        <w:spacing w:after="80"/>
      </w:pPr>
      <w:r>
        <w:t>Ejecutar INICIAR_APLICACION.bat para abrir el panel.</w:t>
      </w:r>
    </w:p>
    <w:p>
      <w:pPr>
        <w:pStyle w:val="Heading2"/>
        <w:spacing w:before="160" w:after="160"/>
      </w:pPr>
      <w:r>
        <w:t>Estructura técnica</w:t>
      </w:r>
    </w:p>
    <w:tbl>
      <w:tblPr>
        <w:tblStyle w:val="TableGrid"/>
        <w:tblW w:type="auto" w:w="0"/>
        <w:jc w:val="center"/>
        <w:tblLook w:firstColumn="1" w:firstRow="1" w:lastColumn="0" w:lastRow="0" w:noHBand="0" w:noVBand="1" w:val="04A0"/>
      </w:tblPr>
      <w:tblGrid>
        <w:gridCol w:w="4986"/>
        <w:gridCol w:w="4986"/>
      </w:tblGrid>
      <w:tr>
        <w:tc>
          <w:tcPr>
            <w:tcW w:type="dxa" w:w="4986"/>
            <w:shd w:fill="071A22"/>
            <w:vAlign w:val="center"/>
          </w:tcPr>
          <w:p>
            <w:r/>
            <w:r>
              <w:rPr>
                <w:rFonts w:ascii="Aptos" w:hAnsi="Aptos"/>
                <w:b/>
                <w:color w:val="FFFFFF"/>
                <w:sz w:val="18"/>
              </w:rPr>
              <w:t>Carpeta</w:t>
            </w:r>
          </w:p>
        </w:tc>
        <w:tc>
          <w:tcPr>
            <w:tcW w:type="dxa" w:w="4986"/>
            <w:shd w:fill="071A22"/>
            <w:vAlign w:val="center"/>
          </w:tcPr>
          <w:p>
            <w:r/>
            <w:r>
              <w:rPr>
                <w:rFonts w:ascii="Aptos" w:hAnsi="Aptos"/>
                <w:b/>
                <w:color w:val="FFFFFF"/>
                <w:sz w:val="18"/>
              </w:rPr>
              <w:t>Contenido</w:t>
            </w:r>
          </w:p>
        </w:tc>
      </w:tr>
      <w:tr>
        <w:tc>
          <w:tcPr>
            <w:tcW w:type="dxa" w:w="4986"/>
            <w:vAlign w:val="center"/>
          </w:tcPr>
          <w:p>
            <w:r/>
            <w:r>
              <w:rPr>
                <w:rFonts w:ascii="Aptos" w:hAnsi="Aptos"/>
                <w:b w:val="0"/>
                <w:color w:val="17313B"/>
                <w:sz w:val="17"/>
              </w:rPr>
              <w:t>src/</w:t>
            </w:r>
          </w:p>
        </w:tc>
        <w:tc>
          <w:tcPr>
            <w:tcW w:type="dxa" w:w="4986"/>
            <w:vAlign w:val="center"/>
          </w:tcPr>
          <w:p>
            <w:r/>
            <w:r>
              <w:rPr>
                <w:rFonts w:ascii="Aptos" w:hAnsi="Aptos"/>
                <w:b w:val="0"/>
                <w:color w:val="17313B"/>
                <w:sz w:val="17"/>
              </w:rPr>
              <w:t>Carga, variables, modelos y pipeline.</w:t>
            </w:r>
          </w:p>
        </w:tc>
      </w:tr>
      <w:tr>
        <w:tc>
          <w:tcPr>
            <w:tcW w:type="dxa" w:w="4986"/>
            <w:vAlign w:val="center"/>
            <w:shd w:fill="F1F6F7"/>
          </w:tcPr>
          <w:p>
            <w:r/>
            <w:r>
              <w:rPr>
                <w:rFonts w:ascii="Aptos" w:hAnsi="Aptos"/>
                <w:b w:val="0"/>
                <w:color w:val="17313B"/>
                <w:sz w:val="17"/>
              </w:rPr>
              <w:t>scripts/</w:t>
            </w:r>
          </w:p>
        </w:tc>
        <w:tc>
          <w:tcPr>
            <w:tcW w:type="dxa" w:w="4986"/>
            <w:vAlign w:val="center"/>
            <w:shd w:fill="F1F6F7"/>
          </w:tcPr>
          <w:p>
            <w:r/>
            <w:r>
              <w:rPr>
                <w:rFonts w:ascii="Aptos" w:hAnsi="Aptos"/>
                <w:b w:val="0"/>
                <w:color w:val="17313B"/>
                <w:sz w:val="17"/>
              </w:rPr>
              <w:t>Actualización, monitor, servidor y entrenamiento avanzado.</w:t>
            </w:r>
          </w:p>
        </w:tc>
      </w:tr>
      <w:tr>
        <w:tc>
          <w:tcPr>
            <w:tcW w:type="dxa" w:w="4986"/>
            <w:vAlign w:val="center"/>
          </w:tcPr>
          <w:p>
            <w:r/>
            <w:r>
              <w:rPr>
                <w:rFonts w:ascii="Aptos" w:hAnsi="Aptos"/>
                <w:b w:val="0"/>
                <w:color w:val="17313B"/>
                <w:sz w:val="17"/>
              </w:rPr>
              <w:t>dashboard/</w:t>
            </w:r>
          </w:p>
        </w:tc>
        <w:tc>
          <w:tcPr>
            <w:tcW w:type="dxa" w:w="4986"/>
            <w:vAlign w:val="center"/>
          </w:tcPr>
          <w:p>
            <w:r/>
            <w:r>
              <w:rPr>
                <w:rFonts w:ascii="Aptos" w:hAnsi="Aptos"/>
                <w:b w:val="0"/>
                <w:color w:val="17313B"/>
                <w:sz w:val="17"/>
              </w:rPr>
              <w:t>Interfaz HTML, CSS y JavaScript.</w:t>
            </w:r>
          </w:p>
        </w:tc>
      </w:tr>
      <w:tr>
        <w:tc>
          <w:tcPr>
            <w:tcW w:type="dxa" w:w="4986"/>
            <w:vAlign w:val="center"/>
            <w:shd w:fill="F1F6F7"/>
          </w:tcPr>
          <w:p>
            <w:r/>
            <w:r>
              <w:rPr>
                <w:rFonts w:ascii="Aptos" w:hAnsi="Aptos"/>
                <w:b w:val="0"/>
                <w:color w:val="17313B"/>
                <w:sz w:val="17"/>
              </w:rPr>
              <w:t>models/</w:t>
            </w:r>
          </w:p>
        </w:tc>
        <w:tc>
          <w:tcPr>
            <w:tcW w:type="dxa" w:w="4986"/>
            <w:vAlign w:val="center"/>
            <w:shd w:fill="F1F6F7"/>
          </w:tcPr>
          <w:p>
            <w:r/>
            <w:r>
              <w:rPr>
                <w:rFonts w:ascii="Aptos" w:hAnsi="Aptos"/>
                <w:b w:val="0"/>
                <w:color w:val="17313B"/>
                <w:sz w:val="17"/>
              </w:rPr>
              <w:t>Artefactos serializados.</w:t>
            </w:r>
          </w:p>
        </w:tc>
      </w:tr>
      <w:tr>
        <w:tc>
          <w:tcPr>
            <w:tcW w:type="dxa" w:w="4986"/>
            <w:vAlign w:val="center"/>
          </w:tcPr>
          <w:p>
            <w:r/>
            <w:r>
              <w:rPr>
                <w:rFonts w:ascii="Aptos" w:hAnsi="Aptos"/>
                <w:b w:val="0"/>
                <w:color w:val="17313B"/>
                <w:sz w:val="17"/>
              </w:rPr>
              <w:t>reports/</w:t>
            </w:r>
          </w:p>
        </w:tc>
        <w:tc>
          <w:tcPr>
            <w:tcW w:type="dxa" w:w="4986"/>
            <w:vAlign w:val="center"/>
          </w:tcPr>
          <w:p>
            <w:r/>
            <w:r>
              <w:rPr>
                <w:rFonts w:ascii="Aptos" w:hAnsi="Aptos"/>
                <w:b w:val="0"/>
                <w:color w:val="17313B"/>
                <w:sz w:val="17"/>
              </w:rPr>
              <w:t>Métricas y predicciones fuera de muestra.</w:t>
            </w:r>
          </w:p>
        </w:tc>
      </w:tr>
      <w:tr>
        <w:tc>
          <w:tcPr>
            <w:tcW w:type="dxa" w:w="4986"/>
            <w:vAlign w:val="center"/>
            <w:shd w:fill="F1F6F7"/>
          </w:tcPr>
          <w:p>
            <w:r/>
            <w:r>
              <w:rPr>
                <w:rFonts w:ascii="Aptos" w:hAnsi="Aptos"/>
                <w:b w:val="0"/>
                <w:color w:val="17313B"/>
                <w:sz w:val="17"/>
              </w:rPr>
              <w:t>tests/</w:t>
            </w:r>
          </w:p>
        </w:tc>
        <w:tc>
          <w:tcPr>
            <w:tcW w:type="dxa" w:w="4986"/>
            <w:vAlign w:val="center"/>
            <w:shd w:fill="F1F6F7"/>
          </w:tcPr>
          <w:p>
            <w:r/>
            <w:r>
              <w:rPr>
                <w:rFonts w:ascii="Aptos" w:hAnsi="Aptos"/>
                <w:b w:val="0"/>
                <w:color w:val="17313B"/>
                <w:sz w:val="17"/>
              </w:rPr>
              <w:t>Pruebas de orden, duplicados y retardos.</w:t>
            </w:r>
          </w:p>
        </w:tc>
      </w:tr>
    </w:tbl>
    <w:p>
      <w:pPr>
        <w:pStyle w:val="Heading2"/>
        <w:spacing w:before="160" w:after="160"/>
      </w:pPr>
      <w:r>
        <w:t>Contenedores</w:t>
      </w:r>
    </w:p>
    <w:p>
      <w:pPr>
        <w:spacing w:after="140" w:line="269" w:lineRule="auto"/>
      </w:pPr>
      <w:r>
        <w:t>El proyecto incluye Dockerfile y docker-compose.yml. Los datos, modelos y reportes se montan como volúmenes para conservar el estado entre ejecuciones.</w:t>
      </w:r>
    </w:p>
    <w:p>
      <w:pPr>
        <w:pStyle w:val="Heading2"/>
        <w:spacing w:before="160" w:after="160"/>
      </w:pPr>
      <w:r>
        <w:t>Pruebas</w:t>
      </w:r>
    </w:p>
    <w:p>
      <w:pPr>
        <w:spacing w:after="140" w:line="269" w:lineRule="auto"/>
      </w:pPr>
      <w:r>
        <w:t>Las pruebas automáticas verifican orden temporal, unicidad de fechas y construcción de variables con observaciones pasadas. La validación de integración confirma que cada actualización produce 48 puntos futuros.</w:t>
      </w:r>
    </w:p>
    <w:p>
      <w:r>
        <w:br w:type="page"/>
      </w:r>
    </w:p>
    <w:p>
      <w:pPr>
        <w:pStyle w:val="Heading1"/>
        <w:spacing w:before="80" w:after="160"/>
      </w:pPr>
      <w:r>
        <w:t>10. Limitaciones y trabajo futuro</w:t>
      </w:r>
    </w:p>
    <w:p>
      <w:pPr>
        <w:pStyle w:val="ListBullet"/>
        <w:spacing w:after="80"/>
      </w:pPr>
      <w:r>
        <w:t>La prueba oficial corresponde a un mes; debe ampliarse con evaluación rodante.</w:t>
      </w:r>
    </w:p>
    <w:p>
      <w:pPr>
        <w:pStyle w:val="ListBullet"/>
        <w:spacing w:after="80"/>
      </w:pPr>
      <w:r>
        <w:t>El histórico de reprogramaciones no conserva todas sus horas de emisión.</w:t>
      </w:r>
    </w:p>
    <w:p>
      <w:pPr>
        <w:pStyle w:val="ListBullet"/>
        <w:spacing w:after="80"/>
      </w:pPr>
      <w:r>
        <w:t>Las fuentes externas requieren archivos de pronósticos históricos, no observaciones realizadas.</w:t>
      </w:r>
    </w:p>
    <w:p>
      <w:pPr>
        <w:pStyle w:val="ListBullet"/>
        <w:spacing w:after="80"/>
      </w:pPr>
      <w:r>
        <w:t>Eventos excepcionales pueden superar los patrones aprendidos.</w:t>
      </w:r>
    </w:p>
    <w:p>
      <w:pPr>
        <w:pStyle w:val="ListBullet"/>
        <w:spacing w:after="80"/>
      </w:pPr>
      <w:r>
        <w:t>La superioridad se evalúa en promedio y no implica ganar cada intervalo.</w:t>
      </w:r>
    </w:p>
    <w:p>
      <w:pPr>
        <w:pStyle w:val="Heading2"/>
        <w:spacing w:before="160" w:after="160"/>
      </w:pPr>
      <w:r>
        <w:t>Mejoras priorizadas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71A22"/>
            <w:vAlign w:val="center"/>
          </w:tcPr>
          <w:p>
            <w:r/>
            <w:r>
              <w:rPr>
                <w:rFonts w:ascii="Aptos" w:hAnsi="Aptos"/>
                <w:b/>
                <w:color w:val="FFFFFF"/>
                <w:sz w:val="18"/>
              </w:rPr>
              <w:t>Prioridad</w:t>
            </w:r>
          </w:p>
        </w:tc>
        <w:tc>
          <w:tcPr>
            <w:tcW w:type="dxa" w:w="3324"/>
            <w:shd w:fill="071A22"/>
            <w:vAlign w:val="center"/>
          </w:tcPr>
          <w:p>
            <w:r/>
            <w:r>
              <w:rPr>
                <w:rFonts w:ascii="Aptos" w:hAnsi="Aptos"/>
                <w:b/>
                <w:color w:val="FFFFFF"/>
                <w:sz w:val="18"/>
              </w:rPr>
              <w:t>Mejora</w:t>
            </w:r>
          </w:p>
        </w:tc>
        <w:tc>
          <w:tcPr>
            <w:tcW w:type="dxa" w:w="3324"/>
            <w:shd w:fill="071A22"/>
            <w:vAlign w:val="center"/>
          </w:tcPr>
          <w:p>
            <w:r/>
            <w:r>
              <w:rPr>
                <w:rFonts w:ascii="Aptos" w:hAnsi="Aptos"/>
                <w:b/>
                <w:color w:val="FFFFFF"/>
                <w:sz w:val="18"/>
              </w:rPr>
              <w:t>Criterio de aceptación</w:t>
            </w:r>
          </w:p>
        </w:tc>
      </w:tr>
      <w:tr>
        <w:tc>
          <w:tcPr>
            <w:tcW w:type="dxa" w:w="3324"/>
            <w:vAlign w:val="center"/>
          </w:tcPr>
          <w:p>
            <w:r/>
            <w:r>
              <w:rPr>
                <w:rFonts w:ascii="Aptos" w:hAnsi="Aptos"/>
                <w:b w:val="0"/>
                <w:color w:val="17313B"/>
                <w:sz w:val="17"/>
              </w:rPr>
              <w:t>Alta</w:t>
            </w:r>
          </w:p>
        </w:tc>
        <w:tc>
          <w:tcPr>
            <w:tcW w:type="dxa" w:w="3324"/>
            <w:vAlign w:val="center"/>
          </w:tcPr>
          <w:p>
            <w:r/>
            <w:r>
              <w:rPr>
                <w:rFonts w:ascii="Aptos" w:hAnsi="Aptos"/>
                <w:b w:val="0"/>
                <w:color w:val="17313B"/>
                <w:sz w:val="17"/>
              </w:rPr>
              <w:t>Acumular versiones intradía</w:t>
            </w:r>
          </w:p>
        </w:tc>
        <w:tc>
          <w:tcPr>
            <w:tcW w:type="dxa" w:w="3324"/>
            <w:vAlign w:val="center"/>
          </w:tcPr>
          <w:p>
            <w:r/>
            <w:r>
              <w:rPr>
                <w:rFonts w:ascii="Aptos" w:hAnsi="Aptos"/>
                <w:b w:val="0"/>
                <w:color w:val="17313B"/>
                <w:sz w:val="17"/>
              </w:rPr>
              <w:t>Tres meses de emisiones trazables.</w:t>
            </w:r>
          </w:p>
        </w:tc>
      </w:tr>
      <w:tr>
        <w:tc>
          <w:tcPr>
            <w:tcW w:type="dxa" w:w="3324"/>
            <w:vAlign w:val="center"/>
            <w:shd w:fill="F1F6F7"/>
          </w:tcPr>
          <w:p>
            <w:r/>
            <w:r>
              <w:rPr>
                <w:rFonts w:ascii="Aptos" w:hAnsi="Aptos"/>
                <w:b w:val="0"/>
                <w:color w:val="17313B"/>
                <w:sz w:val="17"/>
              </w:rPr>
              <w:t>Alta</w:t>
            </w:r>
          </w:p>
        </w:tc>
        <w:tc>
          <w:tcPr>
            <w:tcW w:type="dxa" w:w="3324"/>
            <w:vAlign w:val="center"/>
            <w:shd w:fill="F1F6F7"/>
          </w:tcPr>
          <w:p>
            <w:r/>
            <w:r>
              <w:rPr>
                <w:rFonts w:ascii="Aptos" w:hAnsi="Aptos"/>
                <w:b w:val="0"/>
                <w:color w:val="17313B"/>
                <w:sz w:val="17"/>
              </w:rPr>
              <w:t>Validación rodante</w:t>
            </w:r>
          </w:p>
        </w:tc>
        <w:tc>
          <w:tcPr>
            <w:tcW w:type="dxa" w:w="3324"/>
            <w:vAlign w:val="center"/>
            <w:shd w:fill="F1F6F7"/>
          </w:tcPr>
          <w:p>
            <w:r/>
            <w:r>
              <w:rPr>
                <w:rFonts w:ascii="Aptos" w:hAnsi="Aptos"/>
                <w:b w:val="0"/>
                <w:color w:val="17313B"/>
                <w:sz w:val="17"/>
              </w:rPr>
              <w:t>MAE estable en varios cortes mensuales.</w:t>
            </w:r>
          </w:p>
        </w:tc>
      </w:tr>
      <w:tr>
        <w:tc>
          <w:tcPr>
            <w:tcW w:type="dxa" w:w="3324"/>
            <w:vAlign w:val="center"/>
          </w:tcPr>
          <w:p>
            <w:r/>
            <w:r>
              <w:rPr>
                <w:rFonts w:ascii="Aptos" w:hAnsi="Aptos"/>
                <w:b w:val="0"/>
                <w:color w:val="17313B"/>
                <w:sz w:val="17"/>
              </w:rPr>
              <w:t>Media</w:t>
            </w:r>
          </w:p>
        </w:tc>
        <w:tc>
          <w:tcPr>
            <w:tcW w:type="dxa" w:w="3324"/>
            <w:vAlign w:val="center"/>
          </w:tcPr>
          <w:p>
            <w:r/>
            <w:r>
              <w:rPr>
                <w:rFonts w:ascii="Aptos" w:hAnsi="Aptos"/>
                <w:b w:val="0"/>
                <w:color w:val="17313B"/>
                <w:sz w:val="17"/>
              </w:rPr>
              <w:t>Pronóstico meteorológico archivado</w:t>
            </w:r>
          </w:p>
        </w:tc>
        <w:tc>
          <w:tcPr>
            <w:tcW w:type="dxa" w:w="3324"/>
            <w:vAlign w:val="center"/>
          </w:tcPr>
          <w:p>
            <w:r/>
            <w:r>
              <w:rPr>
                <w:rFonts w:ascii="Aptos" w:hAnsi="Aptos"/>
                <w:b w:val="0"/>
                <w:color w:val="17313B"/>
                <w:sz w:val="17"/>
              </w:rPr>
              <w:t>Mejora consistente en 6–24 h.</w:t>
            </w:r>
          </w:p>
        </w:tc>
      </w:tr>
      <w:tr>
        <w:tc>
          <w:tcPr>
            <w:tcW w:type="dxa" w:w="3324"/>
            <w:vAlign w:val="center"/>
            <w:shd w:fill="F1F6F7"/>
          </w:tcPr>
          <w:p>
            <w:r/>
            <w:r>
              <w:rPr>
                <w:rFonts w:ascii="Aptos" w:hAnsi="Aptos"/>
                <w:b w:val="0"/>
                <w:color w:val="17313B"/>
                <w:sz w:val="17"/>
              </w:rPr>
              <w:t>Media</w:t>
            </w:r>
          </w:p>
        </w:tc>
        <w:tc>
          <w:tcPr>
            <w:tcW w:type="dxa" w:w="3324"/>
            <w:vAlign w:val="center"/>
            <w:shd w:fill="F1F6F7"/>
          </w:tcPr>
          <w:p>
            <w:r/>
            <w:r>
              <w:rPr>
                <w:rFonts w:ascii="Aptos" w:hAnsi="Aptos"/>
                <w:b w:val="0"/>
                <w:color w:val="17313B"/>
                <w:sz w:val="17"/>
              </w:rPr>
              <w:t>Detección de cambio de distribución</w:t>
            </w:r>
          </w:p>
        </w:tc>
        <w:tc>
          <w:tcPr>
            <w:tcW w:type="dxa" w:w="3324"/>
            <w:vAlign w:val="center"/>
            <w:shd w:fill="F1F6F7"/>
          </w:tcPr>
          <w:p>
            <w:r/>
            <w:r>
              <w:rPr>
                <w:rFonts w:ascii="Aptos" w:hAnsi="Aptos"/>
                <w:b w:val="0"/>
                <w:color w:val="17313B"/>
                <w:sz w:val="17"/>
              </w:rPr>
              <w:t>Alerta ante aumento sostenido del error.</w:t>
            </w:r>
          </w:p>
        </w:tc>
      </w:tr>
      <w:tr>
        <w:tc>
          <w:tcPr>
            <w:tcW w:type="dxa" w:w="3324"/>
            <w:vAlign w:val="center"/>
          </w:tcPr>
          <w:p>
            <w:r/>
            <w:r>
              <w:rPr>
                <w:rFonts w:ascii="Aptos" w:hAnsi="Aptos"/>
                <w:b w:val="0"/>
                <w:color w:val="17313B"/>
                <w:sz w:val="17"/>
              </w:rPr>
              <w:t>Baja</w:t>
            </w:r>
          </w:p>
        </w:tc>
        <w:tc>
          <w:tcPr>
            <w:tcW w:type="dxa" w:w="3324"/>
            <w:vAlign w:val="center"/>
          </w:tcPr>
          <w:p>
            <w:r/>
            <w:r>
              <w:rPr>
                <w:rFonts w:ascii="Aptos" w:hAnsi="Aptos"/>
                <w:b w:val="0"/>
                <w:color w:val="17313B"/>
                <w:sz w:val="17"/>
              </w:rPr>
              <w:t>Modelos de mayor complejidad</w:t>
            </w:r>
          </w:p>
        </w:tc>
        <w:tc>
          <w:tcPr>
            <w:tcW w:type="dxa" w:w="3324"/>
            <w:vAlign w:val="center"/>
          </w:tcPr>
          <w:p>
            <w:r/>
            <w:r>
              <w:rPr>
                <w:rFonts w:ascii="Aptos" w:hAnsi="Aptos"/>
                <w:b w:val="0"/>
                <w:color w:val="17313B"/>
                <w:sz w:val="17"/>
              </w:rPr>
              <w:t>Ganancia neta después de costo y latencia.</w:t>
            </w:r>
          </w:p>
        </w:tc>
      </w:tr>
    </w:tbl>
    <w:p>
      <w:pPr>
        <w:pStyle w:val="Heading2"/>
        <w:spacing w:before="160" w:after="160"/>
      </w:pPr>
      <w:r>
        <w:t>Conclusión</w:t>
      </w:r>
    </w:p>
    <w:p>
      <w:pPr>
        <w:spacing w:after="140" w:line="269" w:lineRule="auto"/>
      </w:pPr>
      <w:r>
        <w:t>El proyecto entrega un sistema funcional y reproducible que integra datos reales, validación temporal, modelos comparados y una aplicación de seguimiento. El enfoque Ridge residual mejora las referencias diarias en los tres horizontes oficiales y conserva la velocidad necesaria para reentrenar al actualizar. La arquitectura queda preparada para incorporar nuevas variables únicamente cuando demuestren una mejora verificable.</w:t>
      </w:r>
    </w:p>
    <w:p>
      <w:r>
        <w:br w:type="page"/>
      </w:r>
    </w:p>
    <w:p>
      <w:pPr>
        <w:pStyle w:val="Heading1"/>
        <w:spacing w:before="80" w:after="160"/>
      </w:pPr>
      <w:r>
        <w:t>Referencias</w:t>
      </w:r>
    </w:p>
    <w:p>
      <w:pPr>
        <w:spacing w:after="180"/>
      </w:pPr>
      <w:r>
        <w:t>COES. Portal de información de demanda. https://www.coes.org.pe/Portal/portalinformacion/demanda</w:t>
      </w:r>
    </w:p>
    <w:p>
      <w:pPr>
        <w:spacing w:after="180"/>
      </w:pPr>
      <w:r>
        <w:t>COES. Ayuda de la API de mediciones. https://appserver.coes.org.pe/waMediciones/Help</w:t>
      </w:r>
    </w:p>
    <w:p>
      <w:pPr>
        <w:spacing w:after="180"/>
      </w:pPr>
      <w:r>
        <w:t>COES. Reprogramación diaria de la operación. https://www.coes.org.pe/Portal/Operacion/ProgOperacion/RprogDiarioOp</w:t>
      </w:r>
    </w:p>
    <w:p>
      <w:pPr>
        <w:spacing w:after="180"/>
      </w:pPr>
      <w:r>
        <w:t>NASA POWER. Hourly API. https://power.larc.nasa.gov/docs/services/api/temporal/hourly/</w:t>
      </w:r>
    </w:p>
    <w:p>
      <w:pPr>
        <w:spacing w:after="180"/>
      </w:pPr>
      <w:r>
        <w:t>Scikit-learn. Ridge regression. https://scikit-learn.org/stable/modules/linear_model.html#ridge-regression-and-classification</w:t>
      </w:r>
    </w:p>
    <w:p>
      <w:pPr>
        <w:spacing w:after="180"/>
      </w:pPr>
      <w:r>
        <w:t>Scikit-learn. HistGradientBoostingRegressor. https://scikit-learn.org/stable/modules/ensemble.html#histogram-based-gradient-boosting</w:t>
      </w:r>
    </w:p>
    <w:p>
      <w:pPr>
        <w:pStyle w:val="Heading2"/>
        <w:spacing w:before="160" w:after="160"/>
      </w:pPr>
      <w:r>
        <w:t>Archivos de evidencia</w:t>
      </w:r>
    </w:p>
    <w:p>
      <w:pPr>
        <w:pStyle w:val="ListBullet"/>
        <w:spacing w:after="80"/>
      </w:pPr>
      <w:r>
        <w:t>reports/metricas_validacion.csv</w:t>
      </w:r>
    </w:p>
    <w:p>
      <w:pPr>
        <w:pStyle w:val="ListBullet"/>
        <w:spacing w:after="80"/>
      </w:pPr>
      <w:r>
        <w:t>reports/predicciones_validacion.csv</w:t>
      </w:r>
    </w:p>
    <w:p>
      <w:pPr>
        <w:pStyle w:val="ListBullet"/>
        <w:spacing w:after="80"/>
      </w:pPr>
      <w:r>
        <w:t>reports/comparacion_modelos_rdo.csv</w:t>
      </w:r>
    </w:p>
    <w:p>
      <w:pPr>
        <w:pStyle w:val="ListBullet"/>
        <w:spacing w:after="80"/>
      </w:pPr>
      <w:r>
        <w:t>reports/entrenamiento_modelo_avanzado.json</w:t>
      </w:r>
    </w:p>
    <w:p>
      <w:pPr>
        <w:pStyle w:val="ListBullet"/>
        <w:spacing w:after="80"/>
      </w:pPr>
      <w:r>
        <w:t>data/monitor/coes_versiones.sqlite</w:t>
      </w:r>
    </w:p>
    <w:sectPr w:rsidR="00FC693F" w:rsidRPr="0006063C" w:rsidSect="00034616">
      <w:headerReference w:type="default" r:id="rId9"/>
      <w:footerReference w:type="default" r:id="rId10"/>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7580"/>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E7580"/>
        <w:sz w:val="16"/>
      </w:rPr>
      <w:t>PRONÓSTICO DE DEMANDA ELÉCTRICA DEL SEIN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31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A2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D0B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71A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