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260"/>
              <w:left w:type="dxa" w:w="360"/>
              <w:bottom w:type="dxa" w:w="260"/>
              <w:right w:type="dxa" w:w="360"/>
            </w:tcMar>
          </w:tcPr>
          <w:p>
            <w:pPr>
              <w:spacing w:before="40" w:after="40"/>
              <w:jc w:val="center"/>
            </w:pPr>
            <w:r>
              <w:rPr>
                <w:rFonts w:ascii="Arial" w:cs="Arial" w:eastAsia="Arial" w:hAnsi="Arial"/>
                <w:b/>
                <w:bCs/>
                <w:color w:val="FFFFFF"/>
                <w:sz w:val="42"/>
                <w:szCs w:val="42"/>
              </w:rPr>
              <w:t xml:space="preserve">P E R S É A   P R O T O C O L</w:t>
            </w:r>
          </w:p>
          <w:p>
            <w:pPr>
              <w:spacing w:before="40" w:after="40"/>
              <w:jc w:val="left"/>
            </w:pPr>
            <w:r>
              <w:rPr>
                <w:rFonts w:ascii="Arial" w:cs="Arial" w:eastAsia="Arial" w:hAnsi="Arial"/>
                <w:b w:val="false"/>
                <w:bCs w:val="false"/>
                <w:color w:val="FFFFFF"/>
                <w:sz w:val="14"/>
                <w:szCs w:val="14"/>
              </w:rPr>
              <w:t xml:space="preserve"/>
            </w:r>
          </w:p>
          <w:p>
            <w:pPr>
              <w:spacing w:before="40" w:after="40"/>
              <w:jc w:val="center"/>
            </w:pPr>
            <w:r>
              <w:rPr>
                <w:rFonts w:ascii="Arial" w:cs="Arial" w:eastAsia="Arial" w:hAnsi="Arial"/>
                <w:b w:val="false"/>
                <w:bCs w:val="false"/>
                <w:color w:val="FFFFFF"/>
                <w:sz w:val="22"/>
                <w:szCs w:val="22"/>
              </w:rPr>
              <w:t xml:space="preserve">Trazabilidad y Aprovechamiento de Residuos del Aguacate en Blockchain</w:t>
            </w:r>
          </w:p>
        </w:tc>
      </w:tr>
    </w:tbl>
    <w:p>
      <w:pPr>
        <w:spacing w:before="8"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5EE" w:val="clear"/>
            <w:tcMar>
              <w:top w:type="dxa" w:w="260"/>
              <w:left w:type="dxa" w:w="360"/>
              <w:bottom w:type="dxa" w:w="260"/>
              <w:right w:type="dxa" w:w="360"/>
            </w:tcMar>
          </w:tcPr>
          <w:p>
            <w:pPr>
              <w:spacing w:before="40" w:after="40"/>
              <w:jc w:val="center"/>
            </w:pPr>
            <w:r>
              <w:rPr>
                <w:rFonts w:ascii="Arial" w:cs="Arial" w:eastAsia="Arial" w:hAnsi="Arial"/>
                <w:b w:val="false"/>
                <w:bCs w:val="false"/>
                <w:color w:val="1B3A2D"/>
                <w:sz w:val="21"/>
                <w:szCs w:val="21"/>
              </w:rPr>
              <w:t xml:space="preserve">Michoacán de Ocampo, México  ·  Tancítaro — Uruapan — Ario de Rosales</w:t>
            </w:r>
          </w:p>
          <w:p>
            <w:pPr>
              <w:spacing w:before="40" w:after="40"/>
              <w:jc w:val="center"/>
            </w:pPr>
            <w:r>
              <w:rPr>
                <w:rFonts w:ascii="Arial" w:cs="Arial" w:eastAsia="Arial" w:hAnsi="Arial"/>
                <w:b w:val="false"/>
                <w:bCs w:val="false"/>
                <w:color w:val="1B3A2D"/>
                <w:sz w:val="20"/>
                <w:szCs w:val="20"/>
              </w:rPr>
              <w:t xml:space="preserve">Construido sobre Nomad Blockchain  ·  Whitepaper &amp; Roadmap v1.0  ·  2026</w:t>
            </w:r>
          </w:p>
        </w:tc>
      </w:tr>
    </w:tbl>
    <w:p>
      <w:pPr>
        <w:spacing w:before="8"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60"/>
              <w:left w:type="dxa" w:w="360"/>
              <w:bottom w:type="dxa" w:w="260"/>
              <w:right w:type="dxa" w:w="360"/>
            </w:tcMar>
          </w:tcPr>
          <w:p>
            <w:pPr>
              <w:spacing w:before="40" w:after="40"/>
              <w:jc w:val="center"/>
            </w:pPr>
            <w:r>
              <w:rPr>
                <w:rFonts w:ascii="Arial" w:cs="Arial" w:eastAsia="Arial" w:hAnsi="Arial"/>
                <w:b/>
                <w:bCs/>
                <w:color w:val="B5860D"/>
                <w:sz w:val="21"/>
                <w:szCs w:val="21"/>
              </w:rPr>
              <w:t xml:space="preserve">🥑  De la cáscara al mercado — cada gramo del aguacate tiene valor.</w:t>
            </w:r>
          </w:p>
          <w:p>
            <w:pPr>
              <w:spacing w:before="40" w:after="40"/>
              <w:jc w:val="center"/>
            </w:pPr>
            <w:r>
              <w:rPr>
                <w:rFonts w:ascii="Arial" w:cs="Arial" w:eastAsia="Arial" w:hAnsi="Arial"/>
                <w:b w:val="false"/>
                <w:bCs w:val="false"/>
                <w:color w:val="B5860D"/>
                <w:sz w:val="20"/>
                <w:szCs w:val="20"/>
              </w:rPr>
              <w:t xml:space="preserve">PERSÉA lo registra, lo traza y lo convierte en activo económico verificable.</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0. El Nombre: ¿Por qué PERSÉA?</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PERSÉA proviene de Persea americana, el nombre científico del aguacate. Es el árbol que sostiene toda la cadena de valor que este protocolo digitaliza. El nombre tiene tres capas de significado deliberadas:</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Persea americana</w:t>
            </w:r>
          </w:p>
          <w:p>
            <w:pPr>
              <w:spacing w:before="50" w:after="0"/>
            </w:pPr>
            <w:r>
              <w:rPr>
                <w:rFonts w:ascii="Arial" w:cs="Arial" w:eastAsia="Arial" w:hAnsi="Arial"/>
                <w:color w:val="1A1A2E"/>
                <w:sz w:val="20"/>
                <w:szCs w:val="20"/>
              </w:rPr>
              <w:t xml:space="preserve">Nombre científico del aguacate. PERSÉA conecta el protocolo directamente con su objeto de estudio, sin metáforas: somos un protocolo del aguacate, para el aguacate.</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Protocolo</w:t>
            </w:r>
          </w:p>
          <w:p>
            <w:pPr>
              <w:spacing w:before="50" w:after="0"/>
            </w:pPr>
            <w:r>
              <w:rPr>
                <w:rFonts w:ascii="Arial" w:cs="Arial" w:eastAsia="Arial" w:hAnsi="Arial"/>
                <w:color w:val="1A1A2E"/>
                <w:sz w:val="20"/>
                <w:szCs w:val="20"/>
              </w:rPr>
              <w:t xml:space="preserve">No es solo una app — es una capa de infraestructura de datos reutilizable. Cualquier actor de la cadena aguacatera puede integrarse al protocolo y beneficiarse de sus estándares.</w:t>
            </w:r>
          </w:p>
        </w:tc>
      </w:tr>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Fácil de recordar en dos idiomas</w:t>
            </w:r>
          </w:p>
          <w:p>
            <w:pPr>
              <w:spacing w:before="50" w:after="0"/>
            </w:pPr>
            <w:r>
              <w:rPr>
                <w:rFonts w:ascii="Arial" w:cs="Arial" w:eastAsia="Arial" w:hAnsi="Arial"/>
                <w:color w:val="1A1A2E"/>
                <w:sz w:val="20"/>
                <w:szCs w:val="20"/>
              </w:rPr>
              <w:t xml:space="preserve">PERSÉA funciona en español e inglés. No requiere traducción. Es pronunciable para productores en Tancítaro y compradores en Nueva York o Tokio.</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Diferenciación de marca</w:t>
            </w:r>
          </w:p>
          <w:p>
            <w:pPr>
              <w:spacing w:before="50" w:after="0"/>
            </w:pPr>
            <w:r>
              <w:rPr>
                <w:rFonts w:ascii="Arial" w:cs="Arial" w:eastAsia="Arial" w:hAnsi="Arial"/>
                <w:color w:val="1A1A2E"/>
                <w:sz w:val="20"/>
                <w:szCs w:val="20"/>
              </w:rPr>
              <w:t xml:space="preserve">Evita términos genéricos como 'Chain', 'Trace' o 'Green'. PERSÉA es un nombre de protocolo científico con identidad propia, patentable y registrable.</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5EE" w:val="clear"/>
            <w:tcMar>
              <w:top w:type="dxa" w:w="260"/>
              <w:left w:type="dxa" w:w="360"/>
              <w:bottom w:type="dxa" w:w="260"/>
              <w:right w:type="dxa" w:w="360"/>
            </w:tcMar>
          </w:tcPr>
          <w:p>
            <w:pPr>
              <w:spacing w:before="40" w:after="40"/>
              <w:jc w:val="center"/>
            </w:pPr>
            <w:r>
              <w:rPr>
                <w:rFonts w:ascii="Arial" w:cs="Arial" w:eastAsia="Arial" w:hAnsi="Arial"/>
                <w:b/>
                <w:bCs/>
                <w:color w:val="1B3A2D"/>
                <w:sz w:val="21"/>
                <w:szCs w:val="21"/>
              </w:rPr>
              <w:t xml:space="preserve">Slogan: "Del árbol al dato — trazado en cadena."</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1. Resumen Ejecutivo</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PERSÉA Protocol es una plataforma descentralizada construida sobre la blockchain Nomad que digitaliza la trazabilidad y el aprovechamiento de todos los residuos del aguacate michoacano: hueso, cáscara, pulpa descartada y biomasa de poda.</w:t>
      </w:r>
    </w:p>
    <w:p>
      <w:pPr>
        <w:spacing w:before="10" w:after="10"/>
      </w:pPr>
    </w:p>
    <w:p>
      <w:pPr>
        <w:spacing w:before="80" w:after="100"/>
      </w:pPr>
      <w:r>
        <w:rPr>
          <w:rFonts w:ascii="Arial" w:cs="Arial" w:eastAsia="Arial" w:hAnsi="Arial"/>
          <w:color w:val="1A1A2E"/>
          <w:sz w:val="22"/>
          <w:szCs w:val="22"/>
        </w:rPr>
        <w:t xml:space="preserve">El aguacate de Michoacán genera más de 870,000 toneladas anuales de residuos aprovechables. Ninguna de esas toneladas tiene hoy un registro confiable, un precio de mercado transparente o una identidad digital. PERSÉA cambia eso — un lote a la vez, una cooperativa a la vez, empezando en Tancítaro.</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Problema central</w:t>
            </w:r>
          </w:p>
          <w:p>
            <w:pPr>
              <w:spacing w:before="50" w:after="0"/>
            </w:pPr>
            <w:r>
              <w:rPr>
                <w:rFonts w:ascii="Arial" w:cs="Arial" w:eastAsia="Arial" w:hAnsi="Arial"/>
                <w:color w:val="1A1A2E"/>
                <w:sz w:val="20"/>
                <w:szCs w:val="20"/>
              </w:rPr>
              <w:t xml:space="preserve">870,000 ton/año de residuos de aguacate en Michoacán sin registro, sin precio y sin mercado. Valor económico potencial de USD 320M/año no capturado.</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Solución</w:t>
            </w:r>
          </w:p>
          <w:p>
            <w:pPr>
              <w:spacing w:before="50" w:after="0"/>
            </w:pPr>
            <w:r>
              <w:rPr>
                <w:rFonts w:ascii="Arial" w:cs="Arial" w:eastAsia="Arial" w:hAnsi="Arial"/>
                <w:color w:val="1A1A2E"/>
                <w:sz w:val="20"/>
                <w:szCs w:val="20"/>
              </w:rPr>
              <w:t xml:space="preserve">Tokenización de lotes de residuos en NFTs verificables. Trazabilidad inmutable en Nomad. Marketplace directo productor-comprador. Sin intermediarios.</w:t>
            </w:r>
          </w:p>
        </w:tc>
      </w:tr>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Mercado objetivo</w:t>
            </w:r>
          </w:p>
          <w:p>
            <w:pPr>
              <w:spacing w:before="50" w:after="0"/>
            </w:pPr>
            <w:r>
              <w:rPr>
                <w:rFonts w:ascii="Arial" w:cs="Arial" w:eastAsia="Arial" w:hAnsi="Arial"/>
                <w:color w:val="1A1A2E"/>
                <w:sz w:val="20"/>
                <w:szCs w:val="20"/>
              </w:rPr>
              <w:t xml:space="preserve">4,200 productores certificados en los municipios de Tancítaro, Uruapan y Ario de Rosales como punto de entrada. 35,000 productores en Michoacán como mercado total.</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Modelo de negocio</w:t>
            </w:r>
          </w:p>
          <w:p>
            <w:pPr>
              <w:spacing w:before="50" w:after="0"/>
            </w:pPr>
            <w:r>
              <w:rPr>
                <w:rFonts w:ascii="Arial" w:cs="Arial" w:eastAsia="Arial" w:hAnsi="Arial"/>
                <w:color w:val="1A1A2E"/>
                <w:sz w:val="20"/>
                <w:szCs w:val="20"/>
              </w:rPr>
              <w:t xml:space="preserve">Comisión del 1.5% en transacciones de marketplace. SaaS para empacadoras (USD 199/mes). Licencia de datos agregados a industria farmacéutica y cosmética.</w:t>
            </w:r>
          </w:p>
        </w:tc>
      </w:tr>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Blockchain: Nomad</w:t>
            </w:r>
          </w:p>
          <w:p>
            <w:pPr>
              <w:spacing w:before="50" w:after="0"/>
            </w:pPr>
            <w:r>
              <w:rPr>
                <w:rFonts w:ascii="Arial" w:cs="Arial" w:eastAsia="Arial" w:hAnsi="Arial"/>
                <w:color w:val="1A1A2E"/>
                <w:sz w:val="20"/>
                <w:szCs w:val="20"/>
              </w:rPr>
              <w:t xml:space="preserve">EVM-compatible. Bajas comisiones (crítico para micro-transacciones de campo). Finalidad rápida. Bridge cross-chain hacia Ethereum y Polygon para compradores internacionales.</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Horizonte</w:t>
            </w:r>
          </w:p>
          <w:p>
            <w:pPr>
              <w:spacing w:before="50" w:after="0"/>
            </w:pPr>
            <w:r>
              <w:rPr>
                <w:rFonts w:ascii="Arial" w:cs="Arial" w:eastAsia="Arial" w:hAnsi="Arial"/>
                <w:color w:val="1A1A2E"/>
                <w:sz w:val="20"/>
                <w:szCs w:val="20"/>
              </w:rPr>
              <w:t xml:space="preserve">Piloto en Tancítaro en 8 semanas. Mainnet en 7 meses. 1,000 usuarios activos en el año 1. Expansión a Jalisco y Estado de México en año 2.</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2. El Problema: 870,000 Toneladas Sin Valor</w:t>
      </w:r>
    </w:p>
    <w:p>
      <w:pPr>
        <w:pBdr>
          <w:bottom w:val="single" w:color="2D6A4F" w:sz="5" w:space="1"/>
        </w:pBdr>
        <w:spacing w:before="160" w:after="160"/>
      </w:pPr>
    </w:p>
    <w:p>
      <w:pPr>
        <w:pStyle w:val="Heading2"/>
        <w:spacing w:before="280" w:after="140"/>
      </w:pPr>
      <w:r>
        <w:rPr>
          <w:rFonts w:ascii="Arial" w:cs="Arial" w:eastAsia="Arial" w:hAnsi="Arial"/>
          <w:b/>
          <w:bCs/>
          <w:color w:val="2D6A4F"/>
          <w:sz w:val="26"/>
          <w:szCs w:val="26"/>
        </w:rPr>
        <w:t xml:space="preserve">2.1 Los residuos del aguacate michoacano</w:t>
      </w:r>
    </w:p>
    <w:p>
      <w:pPr>
        <w:spacing w:before="80" w:after="100"/>
      </w:pPr>
      <w:r>
        <w:rPr>
          <w:rFonts w:ascii="Arial" w:cs="Arial" w:eastAsia="Arial" w:hAnsi="Arial"/>
          <w:color w:val="1A1A2E"/>
          <w:sz w:val="22"/>
          <w:szCs w:val="22"/>
        </w:rPr>
        <w:t xml:space="preserve">Michoacán produce 2,004,926 toneladas de aguacate por año — el 72.6% de la producción nacional. De cada kilogramo de aguacate cosechado, entre 30 y 40% es descartado en distintas etapas de la cadena: campo, empacadora, transporte y destino final.</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000"/>
        <w:gridCol w:w="1960"/>
      </w:tblGrid>
      <w:tr>
        <w:tc>
          <w:tcPr>
            <w:tcW w:type="dxa" w:w="2000"/>
            <w:tcBorders>
              <w:top w:val="single" w:color="2D6A4F" w:sz="1"/>
              <w:left w:val="single" w:color="2D6A4F" w:sz="1"/>
              <w:bottom w:val="single" w:color="2D6A4F" w:sz="1"/>
              <w:right w:val="single" w:color="2D6A4F" w:sz="1"/>
            </w:tcBorders>
            <w:shd w:fill="1B3A2D" w:val="clear"/>
            <w:tcMar>
              <w:top w:type="dxa" w:w="100"/>
              <w:left w:type="dxa" w:w="100"/>
              <w:bottom w:type="dxa" w:w="100"/>
              <w:right w:type="dxa" w:w="100"/>
            </w:tcMar>
          </w:tcPr>
          <w:p>
            <w:r>
              <w:rPr>
                <w:rFonts w:ascii="Arial" w:cs="Arial" w:eastAsia="Arial" w:hAnsi="Arial"/>
                <w:b/>
                <w:bCs/>
                <w:color w:val="FFFFFF"/>
                <w:sz w:val="19"/>
                <w:szCs w:val="19"/>
              </w:rPr>
              <w:t xml:space="preserve">Residuo</w:t>
            </w:r>
          </w:p>
        </w:tc>
        <w:tc>
          <w:tcPr>
            <w:tcW w:type="dxa" w:w="1600"/>
            <w:tcBorders>
              <w:top w:val="single" w:color="2D6A4F" w:sz="1"/>
              <w:left w:val="single" w:color="2D6A4F" w:sz="1"/>
              <w:bottom w:val="single" w:color="2D6A4F" w:sz="1"/>
              <w:right w:val="single" w:color="2D6A4F" w:sz="1"/>
            </w:tcBorders>
            <w:shd w:fill="1B3A2D" w:val="clear"/>
            <w:tcMar>
              <w:top w:type="dxa" w:w="100"/>
              <w:left w:type="dxa" w:w="100"/>
              <w:bottom w:type="dxa" w:w="100"/>
              <w:right w:type="dxa" w:w="100"/>
            </w:tcMar>
          </w:tcPr>
          <w:p>
            <w:r>
              <w:rPr>
                <w:rFonts w:ascii="Arial" w:cs="Arial" w:eastAsia="Arial" w:hAnsi="Arial"/>
                <w:b/>
                <w:bCs/>
                <w:color w:val="FFFFFF"/>
                <w:sz w:val="19"/>
                <w:szCs w:val="19"/>
              </w:rPr>
              <w:t xml:space="preserve">% del fruto</w:t>
            </w:r>
          </w:p>
        </w:tc>
        <w:tc>
          <w:tcPr>
            <w:tcW w:type="dxa" w:w="1800"/>
            <w:tcBorders>
              <w:top w:val="single" w:color="2D6A4F" w:sz="1"/>
              <w:left w:val="single" w:color="2D6A4F" w:sz="1"/>
              <w:bottom w:val="single" w:color="2D6A4F" w:sz="1"/>
              <w:right w:val="single" w:color="2D6A4F" w:sz="1"/>
            </w:tcBorders>
            <w:shd w:fill="1B3A2D" w:val="clear"/>
            <w:tcMar>
              <w:top w:type="dxa" w:w="100"/>
              <w:left w:type="dxa" w:w="100"/>
              <w:bottom w:type="dxa" w:w="100"/>
              <w:right w:type="dxa" w:w="100"/>
            </w:tcMar>
          </w:tcPr>
          <w:p>
            <w:r>
              <w:rPr>
                <w:rFonts w:ascii="Arial" w:cs="Arial" w:eastAsia="Arial" w:hAnsi="Arial"/>
                <w:b/>
                <w:bCs/>
                <w:color w:val="FFFFFF"/>
                <w:sz w:val="19"/>
                <w:szCs w:val="19"/>
              </w:rPr>
              <w:t xml:space="preserve">Ton/año estimadas
(Michoacán)</w:t>
            </w:r>
          </w:p>
        </w:tc>
        <w:tc>
          <w:tcPr>
            <w:tcW w:type="dxa" w:w="2000"/>
            <w:tcBorders>
              <w:top w:val="single" w:color="2D6A4F" w:sz="1"/>
              <w:left w:val="single" w:color="2D6A4F" w:sz="1"/>
              <w:bottom w:val="single" w:color="2D6A4F" w:sz="1"/>
              <w:right w:val="single" w:color="2D6A4F" w:sz="1"/>
            </w:tcBorders>
            <w:shd w:fill="1B3A2D" w:val="clear"/>
            <w:tcMar>
              <w:top w:type="dxa" w:w="100"/>
              <w:left w:type="dxa" w:w="100"/>
              <w:bottom w:type="dxa" w:w="100"/>
              <w:right w:type="dxa" w:w="100"/>
            </w:tcMar>
          </w:tcPr>
          <w:p>
            <w:r>
              <w:rPr>
                <w:rFonts w:ascii="Arial" w:cs="Arial" w:eastAsia="Arial" w:hAnsi="Arial"/>
                <w:b/>
                <w:bCs/>
                <w:color w:val="FFFFFF"/>
                <w:sz w:val="19"/>
                <w:szCs w:val="19"/>
              </w:rPr>
              <w:t xml:space="preserve">Compuestos de valor</w:t>
            </w:r>
          </w:p>
        </w:tc>
        <w:tc>
          <w:tcPr>
            <w:tcW w:type="dxa" w:w="1960"/>
            <w:tcBorders>
              <w:top w:val="single" w:color="2D6A4F" w:sz="1"/>
              <w:left w:val="single" w:color="2D6A4F" w:sz="1"/>
              <w:bottom w:val="single" w:color="2D6A4F" w:sz="1"/>
              <w:right w:val="single" w:color="2D6A4F" w:sz="1"/>
            </w:tcBorders>
            <w:shd w:fill="1B3A2D" w:val="clear"/>
            <w:tcMar>
              <w:top w:type="dxa" w:w="100"/>
              <w:left w:type="dxa" w:w="100"/>
              <w:bottom w:type="dxa" w:w="100"/>
              <w:right w:type="dxa" w:w="100"/>
            </w:tcMar>
          </w:tcPr>
          <w:p>
            <w:r>
              <w:rPr>
                <w:rFonts w:ascii="Arial" w:cs="Arial" w:eastAsia="Arial" w:hAnsi="Arial"/>
                <w:b/>
                <w:bCs/>
                <w:color w:val="FFFFFF"/>
                <w:sz w:val="19"/>
                <w:szCs w:val="19"/>
              </w:rPr>
              <w:t xml:space="preserve">Mercados destino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2D"/>
                <w:sz w:val="19"/>
                <w:szCs w:val="19"/>
              </w:rPr>
              <w:t xml:space="preserve">🟫 Hueso / Semilla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15–18%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~340,000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Almidón, aceite, polifenoles, antioxidantes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Farmacéutica, cosmética, bioplásticos, biocombustible</w:t>
            </w:r>
          </w:p>
        </w:tc>
      </w:tr>
      <w:tr>
        <w:tc>
          <w:tcPr>
            <w:tcW w:type="dxa" w:w="20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bCs/>
                <w:color w:val="1B3A2D"/>
                <w:sz w:val="19"/>
                <w:szCs w:val="19"/>
              </w:rPr>
              <w:t xml:space="preserve">🟢 Cáscara</w:t>
            </w:r>
          </w:p>
        </w:tc>
        <w:tc>
          <w:tcPr>
            <w:tcW w:type="dxa" w:w="16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12–15%</w:t>
            </w:r>
          </w:p>
        </w:tc>
        <w:tc>
          <w:tcPr>
            <w:tcW w:type="dxa" w:w="18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~270,000</w:t>
            </w:r>
          </w:p>
        </w:tc>
        <w:tc>
          <w:tcPr>
            <w:tcW w:type="dxa" w:w="20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Clorofila, celulosa, lignina, extractos fenólicos</w:t>
            </w:r>
          </w:p>
        </w:tc>
        <w:tc>
          <w:tcPr>
            <w:tcW w:type="dxa" w:w="196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Colorante natural, biocompost, biopolímeros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2D"/>
                <w:sz w:val="19"/>
                <w:szCs w:val="19"/>
              </w:rPr>
              <w:t xml:space="preserve">🟡 Pulpa descartada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~140,000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Ácido oleico, vitamina E, luteína, beta-sitosterol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Cosmética gourmet, aceite premium, suplementos</w:t>
            </w:r>
          </w:p>
        </w:tc>
      </w:tr>
      <w:tr>
        <w:tc>
          <w:tcPr>
            <w:tcW w:type="dxa" w:w="20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bCs/>
                <w:color w:val="1B3A2D"/>
                <w:sz w:val="19"/>
                <w:szCs w:val="19"/>
              </w:rPr>
              <w:t xml:space="preserve">🍃 Ramas y hojas de poda</w:t>
            </w:r>
          </w:p>
        </w:tc>
        <w:tc>
          <w:tcPr>
            <w:tcW w:type="dxa" w:w="16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18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~120,000</w:t>
            </w:r>
          </w:p>
        </w:tc>
        <w:tc>
          <w:tcPr>
            <w:tcW w:type="dxa" w:w="200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Aceites esenciales, flavonoides, taninos</w:t>
            </w:r>
          </w:p>
        </w:tc>
        <w:tc>
          <w:tcPr>
            <w:tcW w:type="dxa" w:w="1960"/>
            <w:tcBorders>
              <w:top w:val="single" w:color="CCCCCC" w:sz="1"/>
              <w:left w:val="single" w:color="CCCCCC" w:sz="1"/>
              <w:bottom w:val="single" w:color="CCCCCC" w:sz="1"/>
              <w:right w:val="single" w:color="CCCCCC" w:sz="1"/>
            </w:tcBorders>
            <w:shd w:fill="E9F5EE" w:val="clear"/>
            <w:tcMar>
              <w:top w:type="dxa" w:w="80"/>
              <w:left w:type="dxa" w:w="100"/>
              <w:bottom w:type="dxa" w:w="80"/>
              <w:right w:type="dxa" w:w="100"/>
            </w:tcMar>
          </w:tcPr>
          <w:p>
            <w:r>
              <w:rPr>
                <w:rFonts w:ascii="Arial" w:cs="Arial" w:eastAsia="Arial" w:hAnsi="Arial"/>
                <w:b w:val="false"/>
                <w:bCs w:val="false"/>
                <w:color w:val="1A1A2E"/>
                <w:sz w:val="19"/>
                <w:szCs w:val="19"/>
              </w:rPr>
              <w:t xml:space="preserve">Infusiones, farmacéutica, biopesticidas</w:t>
            </w:r>
          </w:p>
        </w:tc>
      </w:tr>
    </w:tbl>
    <w:p>
      <w:pPr>
        <w:spacing w:before="10" w:after="10"/>
      </w:pPr>
    </w:p>
    <w:p>
      <w:pPr>
        <w:spacing w:before="80" w:after="100"/>
      </w:pPr>
      <w:r>
        <w:rPr>
          <w:rFonts w:ascii="Arial" w:cs="Arial" w:eastAsia="Arial" w:hAnsi="Arial"/>
          <w:color w:val="1A1A2E"/>
          <w:sz w:val="22"/>
          <w:szCs w:val="22"/>
        </w:rPr>
        <w:t xml:space="preserve">Lo crítico: ninguno de estos flujos de residuo está registrado de forma confiable. No existe un sistema que mida, certifique y conecte esos residuos con compradores dispuestos a pagar por ellos. PERSÉA es exactamente ese sistema.</w:t>
      </w:r>
    </w:p>
    <w:p>
      <w:pPr>
        <w:spacing w:before="10" w:after="10"/>
      </w:pPr>
    </w:p>
    <w:p>
      <w:pPr>
        <w:pStyle w:val="Heading2"/>
        <w:spacing w:before="280" w:after="140"/>
      </w:pPr>
      <w:r>
        <w:rPr>
          <w:rFonts w:ascii="Arial" w:cs="Arial" w:eastAsia="Arial" w:hAnsi="Arial"/>
          <w:b/>
          <w:bCs/>
          <w:color w:val="2D6A4F"/>
          <w:sz w:val="26"/>
          <w:szCs w:val="26"/>
        </w:rPr>
        <w:t xml:space="preserve">2.2 ¿Por qué no funciona el sistema actual?</w:t>
      </w:r>
    </w:p>
    <w:p>
      <w:pPr>
        <w:pStyle w:val="ListParagraph"/>
        <w:numPr>
          <w:ilvl w:val="0"/>
          <w:numId w:val="2"/>
        </w:numPr>
        <w:spacing w:before="60" w:after="60"/>
      </w:pPr>
      <w:r>
        <w:rPr>
          <w:rFonts w:ascii="Arial" w:cs="Arial" w:eastAsia="Arial" w:hAnsi="Arial"/>
          <w:color w:val="1A1A2E"/>
          <w:sz w:val="22"/>
          <w:szCs w:val="22"/>
        </w:rPr>
        <w:t xml:space="preserve">Sin registro: los residuos se reportan de forma estimada en el mejor caso, o simplemente no se reportan.</w:t>
      </w:r>
    </w:p>
    <w:p>
      <w:pPr>
        <w:pStyle w:val="ListParagraph"/>
        <w:numPr>
          <w:ilvl w:val="0"/>
          <w:numId w:val="2"/>
        </w:numPr>
        <w:spacing w:before="60" w:after="60"/>
      </w:pPr>
      <w:r>
        <w:rPr>
          <w:rFonts w:ascii="Arial" w:cs="Arial" w:eastAsia="Arial" w:hAnsi="Arial"/>
          <w:color w:val="1A1A2E"/>
          <w:sz w:val="22"/>
          <w:szCs w:val="22"/>
        </w:rPr>
        <w:t xml:space="preserve">Sin precio: sin datos de volumen verificado, no hay precio de referencia. Los compradores de biomasa pagan lo mínimo posible.</w:t>
      </w:r>
    </w:p>
    <w:p>
      <w:pPr>
        <w:pStyle w:val="ListParagraph"/>
        <w:numPr>
          <w:ilvl w:val="0"/>
          <w:numId w:val="2"/>
        </w:numPr>
        <w:spacing w:before="60" w:after="60"/>
      </w:pPr>
      <w:r>
        <w:rPr>
          <w:rFonts w:ascii="Arial" w:cs="Arial" w:eastAsia="Arial" w:hAnsi="Arial"/>
          <w:color w:val="1A1A2E"/>
          <w:sz w:val="22"/>
          <w:szCs w:val="22"/>
        </w:rPr>
        <w:t xml:space="preserve">Sin mercado formal: las transacciones de residuos se hacen por contacto personal o informal, sin contrato ni garantía.</w:t>
      </w:r>
    </w:p>
    <w:p>
      <w:pPr>
        <w:pStyle w:val="ListParagraph"/>
        <w:numPr>
          <w:ilvl w:val="0"/>
          <w:numId w:val="2"/>
        </w:numPr>
        <w:spacing w:before="60" w:after="60"/>
      </w:pPr>
      <w:r>
        <w:rPr>
          <w:rFonts w:ascii="Arial" w:cs="Arial" w:eastAsia="Arial" w:hAnsi="Arial"/>
          <w:color w:val="1A1A2E"/>
          <w:sz w:val="22"/>
          <w:szCs w:val="22"/>
        </w:rPr>
        <w:t xml:space="preserve">Sin incentivo: el productor no recibe beneficio directo por gestionar bien sus residuos, así que no lo hace.</w:t>
      </w:r>
    </w:p>
    <w:p>
      <w:pPr>
        <w:pStyle w:val="ListParagraph"/>
        <w:numPr>
          <w:ilvl w:val="0"/>
          <w:numId w:val="2"/>
        </w:numPr>
        <w:spacing w:before="60" w:after="60"/>
      </w:pPr>
      <w:r>
        <w:rPr>
          <w:rFonts w:ascii="Arial" w:cs="Arial" w:eastAsia="Arial" w:hAnsi="Arial"/>
          <w:color w:val="1A1A2E"/>
          <w:sz w:val="22"/>
          <w:szCs w:val="22"/>
        </w:rPr>
        <w:t xml:space="preserve">Sin trazabilidad: la cáscara que entra a una planta de bioplásticos no puede certificar su origen, variedad o condiciones de manejo.</w:t>
      </w:r>
    </w:p>
    <w:p>
      <w:pPr>
        <w:spacing w:before="20" w:after="20"/>
      </w:pPr>
      <w:r>
        <w:br w:type="page"/>
      </w:r>
    </w:p>
    <w:p>
      <w:pPr>
        <w:pStyle w:val="Heading1"/>
        <w:spacing w:before="380" w:after="180"/>
      </w:pPr>
      <w:r>
        <w:rPr>
          <w:rFonts w:ascii="Arial" w:cs="Arial" w:eastAsia="Arial" w:hAnsi="Arial"/>
          <w:b/>
          <w:bCs/>
          <w:color w:val="1B3A2D"/>
          <w:sz w:val="34"/>
          <w:szCs w:val="34"/>
        </w:rPr>
        <w:t xml:space="preserve">3. La Solución PERSÉA — Tres Capas</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PERSÉA opera en tres capas que se complementan: registro en campo, liquidez en mercado y valor de datos. Las tres son necesarias; ninguna funciona sola.</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260"/>
              <w:left w:type="dxa" w:w="360"/>
              <w:bottom w:type="dxa" w:w="260"/>
              <w:right w:type="dxa" w:w="360"/>
            </w:tcMar>
          </w:tcPr>
          <w:p>
            <w:pPr>
              <w:spacing w:before="40" w:after="40"/>
              <w:jc w:val="center"/>
            </w:pPr>
            <w:r>
              <w:rPr>
                <w:rFonts w:ascii="Arial" w:cs="Arial" w:eastAsia="Arial" w:hAnsi="Arial"/>
                <w:b/>
                <w:bCs/>
                <w:color w:val="FFFFFF"/>
                <w:sz w:val="22"/>
                <w:szCs w:val="22"/>
              </w:rPr>
              <w:t xml:space="preserve">CAPA 1: REGISTRO   ·   CAPA 2: MERCADO   ·   CAPA 3: DATOS</w:t>
            </w:r>
          </w:p>
          <w:p>
            <w:pPr>
              <w:spacing w:before="40" w:after="40"/>
              <w:jc w:val="center"/>
            </w:pPr>
            <w:r>
              <w:rPr>
                <w:rFonts w:ascii="Arial" w:cs="Arial" w:eastAsia="Arial" w:hAnsi="Arial"/>
                <w:b w:val="false"/>
                <w:bCs w:val="false"/>
                <w:color w:val="FFFFFF"/>
                <w:sz w:val="20"/>
                <w:szCs w:val="20"/>
              </w:rPr>
              <w:t xml:space="preserve">Batch NFT por lote    →    CircularMarket    →    Insights API + Carbon Credits</w:t>
            </w:r>
          </w:p>
        </w:tc>
      </w:tr>
    </w:tbl>
    <w:p>
      <w:pPr>
        <w:spacing w:before="10" w:after="10"/>
      </w:pPr>
    </w:p>
    <w:p>
      <w:pPr>
        <w:pStyle w:val="Heading2"/>
        <w:spacing w:before="280" w:after="140"/>
      </w:pPr>
      <w:r>
        <w:rPr>
          <w:rFonts w:ascii="Arial" w:cs="Arial" w:eastAsia="Arial" w:hAnsi="Arial"/>
          <w:b/>
          <w:bCs/>
          <w:color w:val="2D6A4F"/>
          <w:sz w:val="26"/>
          <w:szCs w:val="26"/>
        </w:rPr>
        <w:t xml:space="preserve">Capa 1 — SkinTrace: Registro Inmutable de Residuos</w:t>
      </w:r>
    </w:p>
    <w:p>
      <w:pPr>
        <w:spacing w:before="80" w:after="100"/>
      </w:pPr>
      <w:r>
        <w:rPr>
          <w:rFonts w:ascii="Arial" w:cs="Arial" w:eastAsia="Arial" w:hAnsi="Arial"/>
          <w:color w:val="1A1A2E"/>
          <w:sz w:val="22"/>
          <w:szCs w:val="22"/>
        </w:rPr>
        <w:t xml:space="preserve">Cada lote de residuos de aguacate que ingresa al protocolo recibe un Batch NFT (ERC-721) en la blockchain Nomad. Este NFT contiene:</w:t>
      </w:r>
    </w:p>
    <w:p>
      <w:pPr>
        <w:pStyle w:val="ListParagraph"/>
        <w:numPr>
          <w:ilvl w:val="0"/>
          <w:numId w:val="2"/>
        </w:numPr>
        <w:spacing w:before="60" w:after="60"/>
      </w:pPr>
      <w:r>
        <w:rPr>
          <w:rFonts w:ascii="Arial" w:cs="Arial" w:eastAsia="Arial" w:hAnsi="Arial"/>
          <w:color w:val="1A1A2E"/>
          <w:sz w:val="22"/>
          <w:szCs w:val="22"/>
        </w:rPr>
        <w:t xml:space="preserve">ID único de lote con timestamp y geolocalización GPS del punto de generación.</w:t>
      </w:r>
    </w:p>
    <w:p>
      <w:pPr>
        <w:pStyle w:val="ListParagraph"/>
        <w:numPr>
          <w:ilvl w:val="0"/>
          <w:numId w:val="2"/>
        </w:numPr>
        <w:spacing w:before="60" w:after="60"/>
      </w:pPr>
      <w:r>
        <w:rPr>
          <w:rFonts w:ascii="Arial" w:cs="Arial" w:eastAsia="Arial" w:hAnsi="Arial"/>
          <w:color w:val="1A1A2E"/>
          <w:sz w:val="22"/>
          <w:szCs w:val="22"/>
        </w:rPr>
        <w:t xml:space="preserve">Tipo de residuo: hueso, cáscara, pulpa descartada o biomasa de poda.</w:t>
      </w:r>
    </w:p>
    <w:p>
      <w:pPr>
        <w:pStyle w:val="ListParagraph"/>
        <w:numPr>
          <w:ilvl w:val="0"/>
          <w:numId w:val="2"/>
        </w:numPr>
        <w:spacing w:before="60" w:after="60"/>
      </w:pPr>
      <w:r>
        <w:rPr>
          <w:rFonts w:ascii="Arial" w:cs="Arial" w:eastAsia="Arial" w:hAnsi="Arial"/>
          <w:color w:val="1A1A2E"/>
          <w:sz w:val="22"/>
          <w:szCs w:val="22"/>
        </w:rPr>
        <w:t xml:space="preserve">Peso verificado: entrada manual o desde báscula IoT vinculada al smart contract.</w:t>
      </w:r>
    </w:p>
    <w:p>
      <w:pPr>
        <w:pStyle w:val="ListParagraph"/>
        <w:numPr>
          <w:ilvl w:val="0"/>
          <w:numId w:val="2"/>
        </w:numPr>
        <w:spacing w:before="60" w:after="60"/>
      </w:pPr>
      <w:r>
        <w:rPr>
          <w:rFonts w:ascii="Arial" w:cs="Arial" w:eastAsia="Arial" w:hAnsi="Arial"/>
          <w:color w:val="1A1A2E"/>
          <w:sz w:val="22"/>
          <w:szCs w:val="22"/>
        </w:rPr>
        <w:t xml:space="preserve">Variedad de aguacate: Hass, Méndez, Criollo u otras.</w:t>
      </w:r>
    </w:p>
    <w:p>
      <w:pPr>
        <w:pStyle w:val="ListParagraph"/>
        <w:numPr>
          <w:ilvl w:val="0"/>
          <w:numId w:val="2"/>
        </w:numPr>
        <w:spacing w:before="60" w:after="60"/>
      </w:pPr>
      <w:r>
        <w:rPr>
          <w:rFonts w:ascii="Arial" w:cs="Arial" w:eastAsia="Arial" w:hAnsi="Arial"/>
          <w:color w:val="1A1A2E"/>
          <w:sz w:val="22"/>
          <w:szCs w:val="22"/>
        </w:rPr>
        <w:t xml:space="preserve">Hash de evidencia fotográfica almacenada en IPFS — inmutable e incorruptible.</w:t>
      </w:r>
    </w:p>
    <w:p>
      <w:pPr>
        <w:pStyle w:val="ListParagraph"/>
        <w:numPr>
          <w:ilvl w:val="0"/>
          <w:numId w:val="2"/>
        </w:numPr>
        <w:spacing w:before="60" w:after="60"/>
      </w:pPr>
      <w:r>
        <w:rPr>
          <w:rFonts w:ascii="Arial" w:cs="Arial" w:eastAsia="Arial" w:hAnsi="Arial"/>
          <w:color w:val="1A1A2E"/>
          <w:sz w:val="22"/>
          <w:szCs w:val="22"/>
        </w:rPr>
        <w:t xml:space="preserve">Estado de calidad: fresco, parcialmente deshidratado, procesado. Clasificado por modelo de IA.</w:t>
      </w:r>
    </w:p>
    <w:p>
      <w:pPr>
        <w:pStyle w:val="ListParagraph"/>
        <w:numPr>
          <w:ilvl w:val="0"/>
          <w:numId w:val="2"/>
        </w:numPr>
        <w:spacing w:before="60" w:after="60"/>
      </w:pPr>
      <w:r>
        <w:rPr>
          <w:rFonts w:ascii="Arial" w:cs="Arial" w:eastAsia="Arial" w:hAnsi="Arial"/>
          <w:color w:val="1A1A2E"/>
          <w:sz w:val="22"/>
          <w:szCs w:val="22"/>
        </w:rPr>
        <w:t xml:space="preserve">Historial de custodia: quién generó, quién transportó, quién recibió — cada transferencia queda on-chain.</w:t>
      </w:r>
    </w:p>
    <w:p>
      <w:pPr>
        <w:spacing w:before="10" w:after="10"/>
      </w:pPr>
    </w:p>
    <w:p>
      <w:pPr>
        <w:pStyle w:val="Heading2"/>
        <w:spacing w:before="280" w:after="140"/>
      </w:pPr>
      <w:r>
        <w:rPr>
          <w:rFonts w:ascii="Arial" w:cs="Arial" w:eastAsia="Arial" w:hAnsi="Arial"/>
          <w:b/>
          <w:bCs/>
          <w:color w:val="2D6A4F"/>
          <w:sz w:val="26"/>
          <w:szCs w:val="26"/>
        </w:rPr>
        <w:t xml:space="preserve">Capa 2 — PitMarket: Marketplace Descentralizado de Residuos</w:t>
      </w:r>
    </w:p>
    <w:p>
      <w:pPr>
        <w:spacing w:before="80" w:after="100"/>
      </w:pPr>
      <w:r>
        <w:rPr>
          <w:rFonts w:ascii="Arial" w:cs="Arial" w:eastAsia="Arial" w:hAnsi="Arial"/>
          <w:color w:val="1A1A2E"/>
          <w:sz w:val="22"/>
          <w:szCs w:val="22"/>
        </w:rPr>
        <w:t xml:space="preserve">Los Batch NFTs pueden ser listados en PitMarket, el marketplace de residuos de aguacate de PERSÉA. Smart contracts en Nomad garantizan pagos automáticos al confirmar entrega verificada por GPS.</w:t>
      </w:r>
    </w:p>
    <w:p>
      <w:pPr>
        <w:pStyle w:val="ListParagraph"/>
        <w:numPr>
          <w:ilvl w:val="0"/>
          <w:numId w:val="2"/>
        </w:numPr>
        <w:spacing w:before="60" w:after="60"/>
      </w:pPr>
      <w:r>
        <w:rPr>
          <w:rFonts w:ascii="Arial" w:cs="Arial" w:eastAsia="Arial" w:hAnsi="Arial"/>
          <w:color w:val="1A1A2E"/>
          <w:sz w:val="22"/>
          <w:szCs w:val="22"/>
        </w:rPr>
        <w:t xml:space="preserve">Compradores verificados: empresas de aceite de semilla de aguacate, cosméticas (aceite y extracto), productores de bioplásticos, plantas de compostaje certificadas, laboratorios farmacéuticos.</w:t>
      </w:r>
    </w:p>
    <w:p>
      <w:pPr>
        <w:pStyle w:val="ListParagraph"/>
        <w:numPr>
          <w:ilvl w:val="0"/>
          <w:numId w:val="2"/>
        </w:numPr>
        <w:spacing w:before="60" w:after="60"/>
      </w:pPr>
      <w:r>
        <w:rPr>
          <w:rFonts w:ascii="Arial" w:cs="Arial" w:eastAsia="Arial" w:hAnsi="Arial"/>
          <w:color w:val="1A1A2E"/>
          <w:sz w:val="22"/>
          <w:szCs w:val="22"/>
        </w:rPr>
        <w:t xml:space="preserve">Precios indexados a USD vía USDC — el productor no está expuesto a volatilidad del token.</w:t>
      </w:r>
    </w:p>
    <w:p>
      <w:pPr>
        <w:pStyle w:val="ListParagraph"/>
        <w:numPr>
          <w:ilvl w:val="0"/>
          <w:numId w:val="2"/>
        </w:numPr>
        <w:spacing w:before="60" w:after="60"/>
      </w:pPr>
      <w:r>
        <w:rPr>
          <w:rFonts w:ascii="Arial" w:cs="Arial" w:eastAsia="Arial" w:hAnsi="Arial"/>
          <w:color w:val="1A1A2E"/>
          <w:sz w:val="22"/>
          <w:szCs w:val="22"/>
        </w:rPr>
        <w:t xml:space="preserve">Escrow automático: pago retenido hasta confirmación GPS de entrega. Liberación automática sin intermediario.</w:t>
      </w:r>
    </w:p>
    <w:p>
      <w:pPr>
        <w:pStyle w:val="ListParagraph"/>
        <w:numPr>
          <w:ilvl w:val="0"/>
          <w:numId w:val="2"/>
        </w:numPr>
        <w:spacing w:before="60" w:after="60"/>
      </w:pPr>
      <w:r>
        <w:rPr>
          <w:rFonts w:ascii="Arial" w:cs="Arial" w:eastAsia="Arial" w:hAnsi="Arial"/>
          <w:color w:val="1A1A2E"/>
          <w:sz w:val="22"/>
          <w:szCs w:val="22"/>
        </w:rPr>
        <w:t xml:space="preserve">Fraccionamiento de lotes: un lote grande puede ser vendido a múltiples compradores en proporciones distintas.</w:t>
      </w:r>
    </w:p>
    <w:p>
      <w:pPr>
        <w:spacing w:before="10" w:after="10"/>
      </w:pPr>
    </w:p>
    <w:p>
      <w:pPr>
        <w:pStyle w:val="Heading2"/>
        <w:spacing w:before="280" w:after="140"/>
      </w:pPr>
      <w:r>
        <w:rPr>
          <w:rFonts w:ascii="Arial" w:cs="Arial" w:eastAsia="Arial" w:hAnsi="Arial"/>
          <w:b/>
          <w:bCs/>
          <w:color w:val="2D6A4F"/>
          <w:sz w:val="26"/>
          <w:szCs w:val="26"/>
        </w:rPr>
        <w:t xml:space="preserve">Capa 3 — SeedData: Valor de Datos Agregados</w:t>
      </w:r>
    </w:p>
    <w:p>
      <w:pPr>
        <w:spacing w:before="80" w:after="100"/>
      </w:pPr>
      <w:r>
        <w:rPr>
          <w:rFonts w:ascii="Arial" w:cs="Arial" w:eastAsia="Arial" w:hAnsi="Arial"/>
          <w:color w:val="1A1A2E"/>
          <w:sz w:val="22"/>
          <w:szCs w:val="22"/>
        </w:rPr>
        <w:t xml:space="preserve">Los datos colectivos del protocolo — volúmenes por municipio, calidad por variedad, estacionalidad — tienen alto valor para la industria. PERSÉA monetiza estos datos de forma ética y con consentimiento on-chain:</w:t>
      </w:r>
    </w:p>
    <w:p>
      <w:pPr>
        <w:pStyle w:val="ListParagraph"/>
        <w:numPr>
          <w:ilvl w:val="0"/>
          <w:numId w:val="2"/>
        </w:numPr>
        <w:spacing w:before="60" w:after="60"/>
      </w:pPr>
      <w:r>
        <w:rPr>
          <w:rFonts w:ascii="Arial" w:cs="Arial" w:eastAsia="Arial" w:hAnsi="Arial"/>
          <w:color w:val="1A1A2E"/>
          <w:sz w:val="22"/>
          <w:szCs w:val="22"/>
        </w:rPr>
        <w:t xml:space="preserve">API de datos agregados para industria farmacéutica, cosmética y de bioplásticos.</w:t>
      </w:r>
    </w:p>
    <w:p>
      <w:pPr>
        <w:pStyle w:val="ListParagraph"/>
        <w:numPr>
          <w:ilvl w:val="0"/>
          <w:numId w:val="2"/>
        </w:numPr>
        <w:spacing w:before="60" w:after="60"/>
      </w:pPr>
      <w:r>
        <w:rPr>
          <w:rFonts w:ascii="Arial" w:cs="Arial" w:eastAsia="Arial" w:hAnsi="Arial"/>
          <w:color w:val="1A1A2E"/>
          <w:sz w:val="22"/>
          <w:szCs w:val="22"/>
        </w:rPr>
        <w:t xml:space="preserve">Certificados de trazabilidad para exportación: compradores en Europa y EE.UU. pagan premium por aguacate con residuos trazados.</w:t>
      </w:r>
    </w:p>
    <w:p>
      <w:pPr>
        <w:pStyle w:val="ListParagraph"/>
        <w:numPr>
          <w:ilvl w:val="0"/>
          <w:numId w:val="2"/>
        </w:numPr>
        <w:spacing w:before="60" w:after="60"/>
      </w:pPr>
      <w:r>
        <w:rPr>
          <w:rFonts w:ascii="Arial" w:cs="Arial" w:eastAsia="Arial" w:hAnsi="Arial"/>
          <w:color w:val="1A1A2E"/>
          <w:sz w:val="22"/>
          <w:szCs w:val="22"/>
        </w:rPr>
        <w:t xml:space="preserve">Créditos de carbono tokenizados: cada tonelada de residuo que evita quema o vertedero genera puntos convertibles en carbon credits verificados.</w:t>
      </w:r>
    </w:p>
    <w:p>
      <w:pPr>
        <w:spacing w:before="20" w:after="20"/>
      </w:pPr>
      <w:r>
        <w:br w:type="page"/>
      </w:r>
    </w:p>
    <w:p>
      <w:pPr>
        <w:pStyle w:val="Heading1"/>
        <w:spacing w:before="380" w:after="180"/>
      </w:pPr>
      <w:r>
        <w:rPr>
          <w:rFonts w:ascii="Arial" w:cs="Arial" w:eastAsia="Arial" w:hAnsi="Arial"/>
          <w:b/>
          <w:bCs/>
          <w:color w:val="1B3A2D"/>
          <w:sz w:val="34"/>
          <w:szCs w:val="34"/>
        </w:rPr>
        <w:t xml:space="preserve">4. Arquitectura Técnica</w:t>
      </w:r>
    </w:p>
    <w:p>
      <w:pPr>
        <w:pBdr>
          <w:bottom w:val="single" w:color="2D6A4F" w:sz="5"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D6A4F" w:sz="1"/>
              <w:left w:val="single" w:color="2D6A4F" w:sz="1"/>
              <w:bottom w:val="single" w:color="2D6A4F" w:sz="1"/>
              <w:right w:val="single" w:color="2D6A4F" w:sz="1"/>
            </w:tcBorders>
            <w:shd w:fill="2D6A4F"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5160"/>
            <w:tcBorders>
              <w:top w:val="single" w:color="2D6A4F" w:sz="1"/>
              <w:left w:val="single" w:color="2D6A4F" w:sz="1"/>
              <w:bottom w:val="single" w:color="2D6A4F" w:sz="1"/>
              <w:right w:val="single" w:color="2D6A4F" w:sz="1"/>
            </w:tcBorders>
            <w:shd w:fill="2D6A4F" w:val="clear"/>
            <w:tcMar>
              <w:top w:type="dxa" w:w="100"/>
              <w:left w:type="dxa" w:w="120"/>
              <w:bottom w:type="dxa" w:w="100"/>
              <w:right w:type="dxa" w:w="120"/>
            </w:tcMar>
          </w:tcPr>
          <w:p>
            <w:r>
              <w:rPr>
                <w:rFonts w:ascii="Arial" w:cs="Arial" w:eastAsia="Arial" w:hAnsi="Arial"/>
                <w:b/>
                <w:bCs/>
                <w:color w:val="FFFFFF"/>
                <w:sz w:val="20"/>
                <w:szCs w:val="20"/>
              </w:rPr>
              <w:t xml:space="preserve">Función en PERSÉA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2D"/>
                <w:sz w:val="19"/>
                <w:szCs w:val="19"/>
              </w:rPr>
              <w:t xml:space="preserve">Blockchain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Nomad Network (EVM)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Base de todos los registros. Bajo costo de gas — crítico para micro-lotes de campo de 50–200 kg. Smart contracts: SkinTraceContract (ERC-721), PitMarketContract (escrow), SeedScoreContract (reputación).</w:t>
            </w:r>
          </w:p>
        </w:tc>
      </w:tr>
      <w:tr>
        <w:tc>
          <w:tcPr>
            <w:tcW w:type="dxa" w:w="22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bCs/>
                <w:color w:val="1B3A2D"/>
                <w:sz w:val="19"/>
                <w:szCs w:val="19"/>
              </w:rPr>
              <w:t xml:space="preserve">Smart Contracts</w:t>
            </w:r>
          </w:p>
        </w:tc>
        <w:tc>
          <w:tcPr>
            <w:tcW w:type="dxa" w:w="20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Solidity + Hardhat + OpenZeppelin</w:t>
            </w:r>
          </w:p>
        </w:tc>
        <w:tc>
          <w:tcPr>
            <w:tcW w:type="dxa" w:w="516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SkinTraceContract: registroBatch(), transferirCustodia(), obtenerHistorial(). PitMarketContract: listarLote(), comprarLote(), confirmarEntrega(), liberarPago(). SeedScoreContract: actualizarScore(), reclamarCredito().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2D"/>
                <w:sz w:val="19"/>
                <w:szCs w:val="19"/>
              </w:rPr>
              <w:t xml:space="preserve">App Móvil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React Native + Expo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Registro de lotes en campo. Captura fotográfica para evidencia IPFS. Clasificación visual de residuo por IA embebida. Modo offline con sincronización posterior. Soporte español, interfaz simplificada para campo.</w:t>
            </w:r>
          </w:p>
        </w:tc>
      </w:tr>
      <w:tr>
        <w:tc>
          <w:tcPr>
            <w:tcW w:type="dxa" w:w="22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bCs/>
                <w:color w:val="1B3A2D"/>
                <w:sz w:val="19"/>
                <w:szCs w:val="19"/>
              </w:rPr>
              <w:t xml:space="preserve">Frontend Web</w:t>
            </w:r>
          </w:p>
        </w:tc>
        <w:tc>
          <w:tcPr>
            <w:tcW w:type="dxa" w:w="20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Next.js 14 + Tailwind + RainbowKit</w:t>
            </w:r>
          </w:p>
        </w:tc>
        <w:tc>
          <w:tcPr>
            <w:tcW w:type="dxa" w:w="516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Dashboard de cooperativas: inventario de lotes activos, transacciones, GreenScore. Panel de comprador: búsqueda por tipo, municipio, calidad y precio. Administración de empacadoras.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2D"/>
                <w:sz w:val="19"/>
                <w:szCs w:val="19"/>
              </w:rPr>
              <w:t xml:space="preserve">Backend /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Node.js + Express + GraphQL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Orquestación de eventos on-chain, webhooks de contratos, autenticación JWT, proxy de predicciones IA, API pública de datos agregados (SeedData).</w:t>
            </w:r>
          </w:p>
        </w:tc>
      </w:tr>
      <w:tr>
        <w:tc>
          <w:tcPr>
            <w:tcW w:type="dxa" w:w="22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bCs/>
                <w:color w:val="1B3A2D"/>
                <w:sz w:val="19"/>
                <w:szCs w:val="19"/>
              </w:rPr>
              <w:t xml:space="preserve">IA — WasteClassifier</w:t>
            </w:r>
          </w:p>
        </w:tc>
        <w:tc>
          <w:tcPr>
            <w:tcW w:type="dxa" w:w="20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Python + FastAPI + YOLOv8</w:t>
            </w:r>
          </w:p>
        </w:tc>
        <w:tc>
          <w:tcPr>
            <w:tcW w:type="dxa" w:w="516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Clasificación visual de residuos desde foto de app móvil: detecta tipo (hueso, cáscara, pulpa) y estima calidad en &lt;2 segundos. Reduce fricción de registro a 30 segundos por lote.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2D"/>
                <w:sz w:val="19"/>
                <w:szCs w:val="19"/>
              </w:rPr>
              <w:t xml:space="preserve">Almacenamiento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IPFS + web3.storage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Evidencia fotográfica inmutable de cada lote. Metadatos del Batch NFT. Certificados de trazabilidad para exportación.</w:t>
            </w:r>
          </w:p>
        </w:tc>
      </w:tr>
      <w:tr>
        <w:tc>
          <w:tcPr>
            <w:tcW w:type="dxa" w:w="22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bCs/>
                <w:color w:val="1B3A2D"/>
                <w:sz w:val="19"/>
                <w:szCs w:val="19"/>
              </w:rPr>
              <w:t xml:space="preserve">IoT</w:t>
            </w:r>
          </w:p>
        </w:tc>
        <w:tc>
          <w:tcPr>
            <w:tcW w:type="dxa" w:w="20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ESP32 + MQTT</w:t>
            </w:r>
          </w:p>
        </w:tc>
        <w:tc>
          <w:tcPr>
            <w:tcW w:type="dxa" w:w="516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Básculas digitales en puntos de acopio de Tancítaro y Uruapan. Envío directo de peso al smart contract. Sensor de temperatura para monitoreo de calidad.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2D"/>
                <w:sz w:val="19"/>
                <w:szCs w:val="19"/>
              </w:rPr>
              <w:t xml:space="preserve">Indexación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The Graph (subgraph)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2E"/>
                <w:sz w:val="19"/>
                <w:szCs w:val="19"/>
              </w:rPr>
              <w:t xml:space="preserve">Consultas rápidas de volumen por municipio, precio de mercado, historial de lote. Base de los dashboards y de la API de SeedData.</w:t>
            </w:r>
          </w:p>
        </w:tc>
      </w:tr>
      <w:tr>
        <w:tc>
          <w:tcPr>
            <w:tcW w:type="dxa" w:w="22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bCs/>
                <w:color w:val="1B3A2D"/>
                <w:sz w:val="19"/>
                <w:szCs w:val="19"/>
              </w:rPr>
              <w:t xml:space="preserve">Infraestructura</w:t>
            </w:r>
          </w:p>
        </w:tc>
        <w:tc>
          <w:tcPr>
            <w:tcW w:type="dxa" w:w="200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AWS + Vercel + Docker</w:t>
            </w:r>
          </w:p>
        </w:tc>
        <w:tc>
          <w:tcPr>
            <w:tcW w:type="dxa" w:w="5160"/>
            <w:tcBorders>
              <w:top w:val="single" w:color="CCCCCC" w:sz="1"/>
              <w:left w:val="single" w:color="CCCCCC" w:sz="1"/>
              <w:bottom w:val="single" w:color="CCCCCC" w:sz="1"/>
              <w:right w:val="single" w:color="CCCCCC" w:sz="1"/>
            </w:tcBorders>
            <w:shd w:fill="E9F5EE" w:val="clear"/>
            <w:tcMar>
              <w:top w:type="dxa" w:w="100"/>
              <w:left w:type="dxa" w:w="120"/>
              <w:bottom w:type="dxa" w:w="100"/>
              <w:right w:type="dxa" w:w="120"/>
            </w:tcMar>
          </w:tcPr>
          <w:p>
            <w:r>
              <w:rPr>
                <w:rFonts w:ascii="Arial" w:cs="Arial" w:eastAsia="Arial" w:hAnsi="Arial"/>
                <w:b w:val="false"/>
                <w:bCs w:val="false"/>
                <w:color w:val="1A1A2E"/>
                <w:sz w:val="19"/>
                <w:szCs w:val="19"/>
              </w:rPr>
              <w:t xml:space="preserve">Backend en ECS (contenedores). PostgreSQL en RDS. Frontend en Vercel. Escala por municipio sin modificar el protocolo.</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5. Residuos del Aguacate — Mapa de Mercados</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PERSÉA no solo registra residuos — conecta cada tipo de residuo con su mercado natural de mayor valor. La priorización es por densidad de comprador y madurez del mercado en México:</w:t>
      </w:r>
    </w:p>
    <w:p>
      <w:pPr>
        <w:spacing w:before="10" w:after="10"/>
      </w:pPr>
    </w:p>
    <w:p>
      <w:pPr>
        <w:spacing w:before="200" w:after="100"/>
      </w:pPr>
      <w:r>
        <w:rPr>
          <w:rFonts w:ascii="Arial" w:cs="Arial" w:eastAsia="Arial" w:hAnsi="Arial"/>
          <w:b/>
          <w:bCs/>
          <w:color w:val="B5860D"/>
          <w:sz w:val="23"/>
          <w:szCs w:val="23"/>
        </w:rPr>
        <w:t xml:space="preserve">🟫 Hueso / Semilla de Aguacate — Mayor prioridad</w:t>
      </w:r>
    </w:p>
    <w:p>
      <w:pPr>
        <w:spacing w:before="80" w:after="100"/>
      </w:pPr>
      <w:r>
        <w:rPr>
          <w:rFonts w:ascii="Arial" w:cs="Arial" w:eastAsia="Arial" w:hAnsi="Arial"/>
          <w:color w:val="1A1A2E"/>
          <w:sz w:val="22"/>
          <w:szCs w:val="22"/>
        </w:rPr>
        <w:t xml:space="preserve">El hueso representa el residuo de mayor valor por kilogramo. Contiene hasta un 25% de aceite en peso seco, almidón funcional, taninos y polifenoles antioxidantes. Mercados activos en México hoy:</w:t>
      </w:r>
    </w:p>
    <w:p>
      <w:pPr>
        <w:pStyle w:val="ListParagraph"/>
        <w:numPr>
          <w:ilvl w:val="0"/>
          <w:numId w:val="2"/>
        </w:numPr>
        <w:spacing w:before="60" w:after="60"/>
      </w:pPr>
      <w:r>
        <w:rPr>
          <w:rFonts w:ascii="Arial" w:cs="Arial" w:eastAsia="Arial" w:hAnsi="Arial"/>
          <w:color w:val="1A1A2E"/>
          <w:sz w:val="22"/>
          <w:szCs w:val="22"/>
        </w:rPr>
        <w:t xml:space="preserve">Aceite de hueso de aguacate: cosmética (anti-aging), mercado de USD 8M en México en 2024.</w:t>
      </w:r>
    </w:p>
    <w:p>
      <w:pPr>
        <w:pStyle w:val="ListParagraph"/>
        <w:numPr>
          <w:ilvl w:val="0"/>
          <w:numId w:val="2"/>
        </w:numPr>
        <w:spacing w:before="60" w:after="60"/>
      </w:pPr>
      <w:r>
        <w:rPr>
          <w:rFonts w:ascii="Arial" w:cs="Arial" w:eastAsia="Arial" w:hAnsi="Arial"/>
          <w:color w:val="1A1A2E"/>
          <w:sz w:val="22"/>
          <w:szCs w:val="22"/>
        </w:rPr>
        <w:t xml:space="preserve">Almidón de aguacate: bioplásticos biodegradables — Novamont y empresas mexicanas con demanda creciente.</w:t>
      </w:r>
    </w:p>
    <w:p>
      <w:pPr>
        <w:pStyle w:val="ListParagraph"/>
        <w:numPr>
          <w:ilvl w:val="0"/>
          <w:numId w:val="2"/>
        </w:numPr>
        <w:spacing w:before="60" w:after="60"/>
      </w:pPr>
      <w:r>
        <w:rPr>
          <w:rFonts w:ascii="Arial" w:cs="Arial" w:eastAsia="Arial" w:hAnsi="Arial"/>
          <w:color w:val="1A1A2E"/>
          <w:sz w:val="22"/>
          <w:szCs w:val="22"/>
        </w:rPr>
        <w:t xml:space="preserve">Extracto polifenólico: industria farmacéutica y nutracéuticos. Precio de mercado: USD 40–120/kg de extracto seco.</w:t>
      </w:r>
    </w:p>
    <w:p>
      <w:pPr>
        <w:pStyle w:val="ListParagraph"/>
        <w:numPr>
          <w:ilvl w:val="0"/>
          <w:numId w:val="2"/>
        </w:numPr>
        <w:spacing w:before="60" w:after="60"/>
      </w:pPr>
      <w:r>
        <w:rPr>
          <w:rFonts w:ascii="Arial" w:cs="Arial" w:eastAsia="Arial" w:hAnsi="Arial"/>
          <w:color w:val="1A1A2E"/>
          <w:sz w:val="22"/>
          <w:szCs w:val="22"/>
        </w:rPr>
        <w:t xml:space="preserve">Colorante natural (hematoxilina): industria textil e histología. Michoacán exporta actualmente de forma informal.</w:t>
      </w:r>
    </w:p>
    <w:p>
      <w:pPr>
        <w:spacing w:before="10" w:after="10"/>
      </w:pPr>
    </w:p>
    <w:p>
      <w:pPr>
        <w:spacing w:before="200" w:after="100"/>
      </w:pPr>
      <w:r>
        <w:rPr>
          <w:rFonts w:ascii="Arial" w:cs="Arial" w:eastAsia="Arial" w:hAnsi="Arial"/>
          <w:b/>
          <w:bCs/>
          <w:color w:val="B5860D"/>
          <w:sz w:val="23"/>
          <w:szCs w:val="23"/>
        </w:rPr>
        <w:t xml:space="preserve">🟢 Cáscara de Aguacate — Segunda prioridad</w:t>
      </w:r>
    </w:p>
    <w:p>
      <w:pPr>
        <w:spacing w:before="80" w:after="100"/>
      </w:pPr>
      <w:r>
        <w:rPr>
          <w:rFonts w:ascii="Arial" w:cs="Arial" w:eastAsia="Arial" w:hAnsi="Arial"/>
          <w:color w:val="1A1A2E"/>
          <w:sz w:val="22"/>
          <w:szCs w:val="22"/>
        </w:rPr>
        <w:t xml:space="preserve">La cáscara tiene alto contenido de celulosa, lignina y extractos fenólicos. Volumen masivo hace que incluso un precio bajo por kilo genere ingresos significativos:</w:t>
      </w:r>
    </w:p>
    <w:p>
      <w:pPr>
        <w:pStyle w:val="ListParagraph"/>
        <w:numPr>
          <w:ilvl w:val="0"/>
          <w:numId w:val="2"/>
        </w:numPr>
        <w:spacing w:before="60" w:after="60"/>
      </w:pPr>
      <w:r>
        <w:rPr>
          <w:rFonts w:ascii="Arial" w:cs="Arial" w:eastAsia="Arial" w:hAnsi="Arial"/>
          <w:color w:val="1A1A2E"/>
          <w:sz w:val="22"/>
          <w:szCs w:val="22"/>
        </w:rPr>
        <w:t xml:space="preserve">Biocompost premium para la misma industria aguacatera — mercado cautivo local.</w:t>
      </w:r>
    </w:p>
    <w:p>
      <w:pPr>
        <w:pStyle w:val="ListParagraph"/>
        <w:numPr>
          <w:ilvl w:val="0"/>
          <w:numId w:val="2"/>
        </w:numPr>
        <w:spacing w:before="60" w:after="60"/>
      </w:pPr>
      <w:r>
        <w:rPr>
          <w:rFonts w:ascii="Arial" w:cs="Arial" w:eastAsia="Arial" w:hAnsi="Arial"/>
          <w:color w:val="1A1A2E"/>
          <w:sz w:val="22"/>
          <w:szCs w:val="22"/>
        </w:rPr>
        <w:t xml:space="preserve">Extracto de cáscara: colorante verde natural para alimentos e industria textil.</w:t>
      </w:r>
    </w:p>
    <w:p>
      <w:pPr>
        <w:pStyle w:val="ListParagraph"/>
        <w:numPr>
          <w:ilvl w:val="0"/>
          <w:numId w:val="2"/>
        </w:numPr>
        <w:spacing w:before="60" w:after="60"/>
      </w:pPr>
      <w:r>
        <w:rPr>
          <w:rFonts w:ascii="Arial" w:cs="Arial" w:eastAsia="Arial" w:hAnsi="Arial"/>
          <w:color w:val="1A1A2E"/>
          <w:sz w:val="22"/>
          <w:szCs w:val="22"/>
        </w:rPr>
        <w:t xml:space="preserve">Lignina técnica: insumo para biopolímeros y adhesivos ecológicos.</w:t>
      </w:r>
    </w:p>
    <w:p>
      <w:pPr>
        <w:spacing w:before="10" w:after="10"/>
      </w:pPr>
    </w:p>
    <w:p>
      <w:pPr>
        <w:spacing w:before="200" w:after="100"/>
      </w:pPr>
      <w:r>
        <w:rPr>
          <w:rFonts w:ascii="Arial" w:cs="Arial" w:eastAsia="Arial" w:hAnsi="Arial"/>
          <w:b/>
          <w:bCs/>
          <w:color w:val="B5860D"/>
          <w:sz w:val="23"/>
          <w:szCs w:val="23"/>
        </w:rPr>
        <w:t xml:space="preserve">🟡 Pulpa descartada en empacadora — Tercera prioridad</w:t>
      </w:r>
    </w:p>
    <w:p>
      <w:pPr>
        <w:pStyle w:val="ListParagraph"/>
        <w:numPr>
          <w:ilvl w:val="0"/>
          <w:numId w:val="2"/>
        </w:numPr>
        <w:spacing w:before="60" w:after="60"/>
      </w:pPr>
      <w:r>
        <w:rPr>
          <w:rFonts w:ascii="Arial" w:cs="Arial" w:eastAsia="Arial" w:hAnsi="Arial"/>
          <w:color w:val="1A1A2E"/>
          <w:sz w:val="22"/>
          <w:szCs w:val="22"/>
        </w:rPr>
        <w:t xml:space="preserve">Aceite de aguacate extra virgen de descarte: cosmética y gastronomía premium.</w:t>
      </w:r>
    </w:p>
    <w:p>
      <w:pPr>
        <w:pStyle w:val="ListParagraph"/>
        <w:numPr>
          <w:ilvl w:val="0"/>
          <w:numId w:val="2"/>
        </w:numPr>
        <w:spacing w:before="60" w:after="60"/>
      </w:pPr>
      <w:r>
        <w:rPr>
          <w:rFonts w:ascii="Arial" w:cs="Arial" w:eastAsia="Arial" w:hAnsi="Arial"/>
          <w:color w:val="1A1A2E"/>
          <w:sz w:val="22"/>
          <w:szCs w:val="22"/>
        </w:rPr>
        <w:t xml:space="preserve">Puré de aguacate para industria alimentaria (guacamole industrial, snacks).</w:t>
      </w:r>
    </w:p>
    <w:p>
      <w:pPr>
        <w:pStyle w:val="ListParagraph"/>
        <w:numPr>
          <w:ilvl w:val="0"/>
          <w:numId w:val="2"/>
        </w:numPr>
        <w:spacing w:before="60" w:after="60"/>
      </w:pPr>
      <w:r>
        <w:rPr>
          <w:rFonts w:ascii="Arial" w:cs="Arial" w:eastAsia="Arial" w:hAnsi="Arial"/>
          <w:color w:val="1A1A2E"/>
          <w:sz w:val="22"/>
          <w:szCs w:val="22"/>
        </w:rPr>
        <w:t xml:space="preserve">Biomasa para biodigestores: producción de biogás en plantas de la región.</w:t>
      </w:r>
    </w:p>
    <w:p>
      <w:pPr>
        <w:spacing w:before="10" w:after="10"/>
      </w:pPr>
    </w:p>
    <w:p>
      <w:pPr>
        <w:spacing w:before="200" w:after="100"/>
      </w:pPr>
      <w:r>
        <w:rPr>
          <w:rFonts w:ascii="Arial" w:cs="Arial" w:eastAsia="Arial" w:hAnsi="Arial"/>
          <w:b/>
          <w:bCs/>
          <w:color w:val="B5860D"/>
          <w:sz w:val="23"/>
          <w:szCs w:val="23"/>
        </w:rPr>
        <w:t xml:space="preserve">🍃 Biomasa de poda (ramas y hojas) — Cuarta prioridad</w:t>
      </w:r>
    </w:p>
    <w:p>
      <w:pPr>
        <w:pStyle w:val="ListParagraph"/>
        <w:numPr>
          <w:ilvl w:val="0"/>
          <w:numId w:val="2"/>
        </w:numPr>
        <w:spacing w:before="60" w:after="60"/>
      </w:pPr>
      <w:r>
        <w:rPr>
          <w:rFonts w:ascii="Arial" w:cs="Arial" w:eastAsia="Arial" w:hAnsi="Arial"/>
          <w:color w:val="1A1A2E"/>
          <w:sz w:val="22"/>
          <w:szCs w:val="22"/>
        </w:rPr>
        <w:t xml:space="preserve">Aceite esencial de hoja de aguacate: aromaterapia y medicina tradicional.</w:t>
      </w:r>
    </w:p>
    <w:p>
      <w:pPr>
        <w:pStyle w:val="ListParagraph"/>
        <w:numPr>
          <w:ilvl w:val="0"/>
          <w:numId w:val="2"/>
        </w:numPr>
        <w:spacing w:before="60" w:after="60"/>
      </w:pPr>
      <w:r>
        <w:rPr>
          <w:rFonts w:ascii="Arial" w:cs="Arial" w:eastAsia="Arial" w:hAnsi="Arial"/>
          <w:color w:val="1A1A2E"/>
          <w:sz w:val="22"/>
          <w:szCs w:val="22"/>
        </w:rPr>
        <w:t xml:space="preserve">Biocarbón (biochar): secuestro de carbono y mejora de suelos — elegible para créditos de carbono.</w:t>
      </w:r>
    </w:p>
    <w:p>
      <w:pPr>
        <w:pStyle w:val="ListParagraph"/>
        <w:numPr>
          <w:ilvl w:val="0"/>
          <w:numId w:val="2"/>
        </w:numPr>
        <w:spacing w:before="60" w:after="60"/>
      </w:pPr>
      <w:r>
        <w:rPr>
          <w:rFonts w:ascii="Arial" w:cs="Arial" w:eastAsia="Arial" w:hAnsi="Arial"/>
          <w:color w:val="1A1A2E"/>
          <w:sz w:val="22"/>
          <w:szCs w:val="22"/>
        </w:rPr>
        <w:t xml:space="preserve">Mulching orgánico: directamente en la misma huerta para retención de humedad.</w:t>
      </w:r>
    </w:p>
    <w:p>
      <w:pPr>
        <w:spacing w:before="20" w:after="20"/>
      </w:pPr>
      <w:r>
        <w:br w:type="page"/>
      </w:r>
    </w:p>
    <w:p>
      <w:pPr>
        <w:pStyle w:val="Heading1"/>
        <w:spacing w:before="380" w:after="180"/>
      </w:pPr>
      <w:r>
        <w:rPr>
          <w:rFonts w:ascii="Arial" w:cs="Arial" w:eastAsia="Arial" w:hAnsi="Arial"/>
          <w:b/>
          <w:bCs/>
          <w:color w:val="1B3A2D"/>
          <w:sz w:val="34"/>
          <w:szCs w:val="34"/>
        </w:rPr>
        <w:t xml:space="preserve">6. Roadmap PERSÉA — Foco Aguacate Michoacán</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El roadmap está diseñado para ir de lo más simple a lo más complejo, validando en campo antes de escalar. Cada fase agrega un tipo de residuo y un módulo nuevo.</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420"/>
        <w:gridCol w:w="2220"/>
        <w:gridCol w:w="2220"/>
      </w:tblGrid>
      <w:tr>
        <w:tc>
          <w:tcPr>
            <w:tcW w:type="dxa" w:w="1300"/>
            <w:tcBorders>
              <w:top w:val="single" w:color="1B3A2D" w:sz="1"/>
              <w:left w:val="single" w:color="1B3A2D" w:sz="1"/>
              <w:bottom w:val="single" w:color="1B3A2D" w:sz="1"/>
              <w:right w:val="single" w:color="1B3A2D" w:sz="1"/>
            </w:tcBorders>
            <w:shd w:fill="1B3A2D" w:val="clear"/>
            <w:tcMar>
              <w:top w:type="dxa" w:w="100"/>
              <w:left w:type="dxa" w:w="110"/>
              <w:bottom w:type="dxa" w:w="100"/>
              <w:right w:type="dxa" w:w="110"/>
            </w:tcMar>
          </w:tcPr>
          <w:p>
            <w:r>
              <w:rPr>
                <w:rFonts w:ascii="Arial" w:cs="Arial" w:eastAsia="Arial" w:hAnsi="Arial"/>
                <w:b/>
                <w:bCs/>
                <w:color w:val="FFFFFF"/>
                <w:sz w:val="19"/>
                <w:szCs w:val="19"/>
              </w:rPr>
              <w:t xml:space="preserve">Fase</w:t>
            </w:r>
          </w:p>
        </w:tc>
        <w:tc>
          <w:tcPr>
            <w:tcW w:type="dxa" w:w="1200"/>
            <w:tcBorders>
              <w:top w:val="single" w:color="1B3A2D" w:sz="1"/>
              <w:left w:val="single" w:color="1B3A2D" w:sz="1"/>
              <w:bottom w:val="single" w:color="1B3A2D" w:sz="1"/>
              <w:right w:val="single" w:color="1B3A2D" w:sz="1"/>
            </w:tcBorders>
            <w:shd w:fill="1B3A2D" w:val="clear"/>
            <w:tcMar>
              <w:top w:type="dxa" w:w="100"/>
              <w:left w:type="dxa" w:w="110"/>
              <w:bottom w:type="dxa" w:w="100"/>
              <w:right w:type="dxa" w:w="110"/>
            </w:tcMar>
          </w:tcPr>
          <w:p>
            <w:r>
              <w:rPr>
                <w:rFonts w:ascii="Arial" w:cs="Arial" w:eastAsia="Arial" w:hAnsi="Arial"/>
                <w:b/>
                <w:bCs/>
                <w:color w:val="FFFFFF"/>
                <w:sz w:val="19"/>
                <w:szCs w:val="19"/>
              </w:rPr>
              <w:t xml:space="preserve">Período</w:t>
            </w:r>
          </w:p>
        </w:tc>
        <w:tc>
          <w:tcPr>
            <w:tcW w:type="dxa" w:w="2420"/>
            <w:tcBorders>
              <w:top w:val="single" w:color="1B3A2D" w:sz="1"/>
              <w:left w:val="single" w:color="1B3A2D" w:sz="1"/>
              <w:bottom w:val="single" w:color="1B3A2D" w:sz="1"/>
              <w:right w:val="single" w:color="1B3A2D" w:sz="1"/>
            </w:tcBorders>
            <w:shd w:fill="1B3A2D" w:val="clear"/>
            <w:tcMar>
              <w:top w:type="dxa" w:w="100"/>
              <w:left w:type="dxa" w:w="110"/>
              <w:bottom w:type="dxa" w:w="100"/>
              <w:right w:type="dxa" w:w="110"/>
            </w:tcMar>
          </w:tcPr>
          <w:p>
            <w:r>
              <w:rPr>
                <w:rFonts w:ascii="Arial" w:cs="Arial" w:eastAsia="Arial" w:hAnsi="Arial"/>
                <w:b/>
                <w:bCs/>
                <w:color w:val="FFFFFF"/>
                <w:sz w:val="19"/>
                <w:szCs w:val="19"/>
              </w:rPr>
              <w:t xml:space="preserve">Foco de Residuo</w:t>
            </w:r>
          </w:p>
        </w:tc>
        <w:tc>
          <w:tcPr>
            <w:tcW w:type="dxa" w:w="2220"/>
            <w:tcBorders>
              <w:top w:val="single" w:color="1B3A2D" w:sz="1"/>
              <w:left w:val="single" w:color="1B3A2D" w:sz="1"/>
              <w:bottom w:val="single" w:color="1B3A2D" w:sz="1"/>
              <w:right w:val="single" w:color="1B3A2D" w:sz="1"/>
            </w:tcBorders>
            <w:shd w:fill="1B3A2D" w:val="clear"/>
            <w:tcMar>
              <w:top w:type="dxa" w:w="100"/>
              <w:left w:type="dxa" w:w="110"/>
              <w:bottom w:type="dxa" w:w="100"/>
              <w:right w:type="dxa" w:w="110"/>
            </w:tcMar>
          </w:tcPr>
          <w:p>
            <w:r>
              <w:rPr>
                <w:rFonts w:ascii="Arial" w:cs="Arial" w:eastAsia="Arial" w:hAnsi="Arial"/>
                <w:b/>
                <w:bCs/>
                <w:color w:val="FFFFFF"/>
                <w:sz w:val="19"/>
                <w:szCs w:val="19"/>
              </w:rPr>
              <w:t xml:space="preserve">Objetivos Clave</w:t>
            </w:r>
          </w:p>
        </w:tc>
        <w:tc>
          <w:tcPr>
            <w:tcW w:type="dxa" w:w="2220"/>
            <w:tcBorders>
              <w:top w:val="single" w:color="1B3A2D" w:sz="1"/>
              <w:left w:val="single" w:color="1B3A2D" w:sz="1"/>
              <w:bottom w:val="single" w:color="1B3A2D" w:sz="1"/>
              <w:right w:val="single" w:color="1B3A2D" w:sz="1"/>
            </w:tcBorders>
            <w:shd w:fill="1B3A2D" w:val="clear"/>
            <w:tcMar>
              <w:top w:type="dxa" w:w="100"/>
              <w:left w:type="dxa" w:w="110"/>
              <w:bottom w:type="dxa" w:w="100"/>
              <w:right w:type="dxa" w:w="110"/>
            </w:tcMar>
          </w:tcPr>
          <w:p>
            <w:r>
              <w:rPr>
                <w:rFonts w:ascii="Arial" w:cs="Arial" w:eastAsia="Arial" w:hAnsi="Arial"/>
                <w:b/>
                <w:bCs/>
                <w:color w:val="FFFFFF"/>
                <w:sz w:val="19"/>
                <w:szCs w:val="19"/>
              </w:rPr>
              <w:t xml:space="preserve">Entregables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bCs/>
                <w:color w:val="1B3A2D"/>
                <w:sz w:val="18"/>
                <w:szCs w:val="18"/>
              </w:rPr>
              <w:t xml:space="preserve">FASE 0
Cimientos
Meses 1–2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Mar–Abr 2026</w:t>
            </w:r>
          </w:p>
        </w:tc>
        <w:tc>
          <w:tcPr>
            <w:tcW w:type="dxa" w:w="24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Hueso y cáscara
en Tancítaro</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Arquitectura técnica completa. Smart contract SkinTrace en testnet Nomad. App móvil prototipo. Acuerdo con 2 cooperativas de Tancítaro. Dataset de variedad Hass para WasteClassifier.</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Whitepaper PERSÉA v1. Repo GitHub inicializado. Testnet deployment. 2 MOU firmados. 20 productores early adopters identificados.</w:t>
            </w:r>
          </w:p>
        </w:tc>
      </w:tr>
      <w:tr>
        <w:tc>
          <w:tcPr>
            <w:tcW w:type="dxa" w:w="130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bCs/>
                <w:color w:val="1B3A2D"/>
                <w:sz w:val="18"/>
                <w:szCs w:val="18"/>
              </w:rPr>
              <w:t xml:space="preserve">FASE 1
MVP
Meses 3–6</w:t>
            </w:r>
          </w:p>
        </w:tc>
        <w:tc>
          <w:tcPr>
            <w:tcW w:type="dxa" w:w="120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May–Ago 2026</w:t>
            </w:r>
          </w:p>
        </w:tc>
        <w:tc>
          <w:tcPr>
            <w:tcW w:type="dxa" w:w="24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Hueso + cáscara.
Clasificación IA
activa en campo.</w:t>
            </w:r>
          </w:p>
        </w:tc>
        <w:tc>
          <w:tcPr>
            <w:tcW w:type="dxa" w:w="22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App iOS y Android funcional. WasteClassifier con &gt;80% de accuracy. 100 productores registrados. 500 Batch NFTs en testnet. Backend estable. Primeros compradores de hueso identificados y en contacto.</w:t>
            </w:r>
          </w:p>
        </w:tc>
        <w:tc>
          <w:tcPr>
            <w:tcW w:type="dxa" w:w="22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App en TestFlight/Play beta. API documentada. 500 lotes registrados en testnet. Acuerdo con 3 compradores de semilla de aguacate (cosmética + bioplásticos).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bCs/>
                <w:color w:val="1B3A2D"/>
                <w:sz w:val="18"/>
                <w:szCs w:val="18"/>
              </w:rPr>
              <w:t xml:space="preserve">FASE 2
Mainnet + Mercado
Meses 7–12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Sep 2026–Feb 2027</w:t>
            </w:r>
          </w:p>
        </w:tc>
        <w:tc>
          <w:tcPr>
            <w:tcW w:type="dxa" w:w="24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Hueso + cáscara
en mainnet.
Primeras ventas
reales.</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Mainnet Nomad activo. PitMarket operando con primeras transacciones reales. 500 usuarios activos. 100 ton/mes registradas. 5 sensores IoT en puntos de acopio de Tancítaro. GreenScore activo.</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Mainnet live. 20 transacciones de marketplace completadas. Primer pago automático vía smart contract. Ronda pre-seed cerrada (objetivo: USD 500K). Reporte ESG auditable.</w:t>
            </w:r>
          </w:p>
        </w:tc>
      </w:tr>
      <w:tr>
        <w:tc>
          <w:tcPr>
            <w:tcW w:type="dxa" w:w="130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bCs/>
                <w:color w:val="1B3A2D"/>
                <w:sz w:val="18"/>
                <w:szCs w:val="18"/>
              </w:rPr>
              <w:t xml:space="preserve">FASE 3
Expansión de Residuos
Meses 13–24</w:t>
            </w:r>
          </w:p>
        </w:tc>
        <w:tc>
          <w:tcPr>
            <w:tcW w:type="dxa" w:w="120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Mar 2027–Feb 2028</w:t>
            </w:r>
          </w:p>
        </w:tc>
        <w:tc>
          <w:tcPr>
            <w:tcW w:type="dxa" w:w="24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Pulpa descartada
en empacadoras
+ biomasa de poda.
Uruapan y Ario.</w:t>
            </w:r>
          </w:p>
        </w:tc>
        <w:tc>
          <w:tcPr>
            <w:tcW w:type="dxa" w:w="22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4 tipos de residuo activos en el protocolo. 3,000 usuarios. 500 ton/mes. Token PERSEA en DEX de Nomad. API SeedData con primeros clientes de datos. Integración con certificadoras de exportación (GLOBALG.A.P.).</w:t>
            </w:r>
          </w:p>
        </w:tc>
        <w:tc>
          <w:tcPr>
            <w:tcW w:type="dxa" w:w="2220"/>
            <w:tcBorders>
              <w:top w:val="single" w:color="CCCCCC" w:sz="1"/>
              <w:left w:val="single" w:color="CCCCCC" w:sz="1"/>
              <w:bottom w:val="single" w:color="CCCCCC" w:sz="1"/>
              <w:right w:val="single" w:color="CCCCCC" w:sz="1"/>
            </w:tcBorders>
            <w:shd w:fill="E9F5EE" w:val="clear"/>
            <w:tcMar>
              <w:top w:type="dxa" w:w="90"/>
              <w:left w:type="dxa" w:w="110"/>
              <w:bottom w:type="dxa" w:w="90"/>
              <w:right w:type="dxa" w:w="110"/>
            </w:tcMar>
          </w:tcPr>
          <w:p>
            <w:r>
              <w:rPr>
                <w:rFonts w:ascii="Arial" w:cs="Arial" w:eastAsia="Arial" w:hAnsi="Arial"/>
                <w:b w:val="false"/>
                <w:bCs w:val="false"/>
                <w:color w:val="1A1A2E"/>
                <w:sz w:val="18"/>
                <w:szCs w:val="18"/>
              </w:rPr>
              <w:t xml:space="preserve">Token PERSEA lanzado. Subgraph público. 50 compradores activos. Certificados de trazabilidad para exportación. Ronda seed (objetivo: USD 1.5M). Primeros carbon credits tokenizados.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bCs/>
                <w:color w:val="1B3A2D"/>
                <w:sz w:val="18"/>
                <w:szCs w:val="18"/>
              </w:rPr>
              <w:t xml:space="preserve">FASE 4
Ecosistema
Meses 25–36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Mar 2028–Feb 2029</w:t>
            </w:r>
          </w:p>
        </w:tc>
        <w:tc>
          <w:tcPr>
            <w:tcW w:type="dxa" w:w="24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Protocolo abierto.
Expansión a Jalisco
y Estado de México.
DAO activa.</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DAO de productores activa con voto real. 10,000 usuarios. API con 15 integraciones. Expansión a Jalisco (2do productor de aguacate, 287,000 ton/año). Cross-chain a Ethereum para compradores internacionales.</w:t>
            </w:r>
          </w:p>
        </w:tc>
        <w:tc>
          <w:tcPr>
            <w:tcW w:type="dxa" w:w="222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Arial" w:cs="Arial" w:eastAsia="Arial" w:hAnsi="Arial"/>
                <w:b w:val="false"/>
                <w:bCs w:val="false"/>
                <w:color w:val="1A1A2E"/>
                <w:sz w:val="18"/>
                <w:szCs w:val="18"/>
              </w:rPr>
              <w:t xml:space="preserve">DAO constitución legal. Cross-chain bridge. Licencia del protocolo a Jalisco. Serie A (objetivo: USD 5M). Presencia en ferias internacionales de bioeconomía (Biofach, Expo Aguacate).</w:t>
            </w:r>
          </w:p>
        </w:tc>
      </w:tr>
    </w:tbl>
    <w:p>
      <w:pPr>
        <w:spacing w:before="10" w:after="10"/>
      </w:pPr>
    </w:p>
    <w:p>
      <w:pPr>
        <w:pStyle w:val="Heading2"/>
        <w:spacing w:before="280" w:after="140"/>
      </w:pPr>
      <w:r>
        <w:rPr>
          <w:rFonts w:ascii="Arial" w:cs="Arial" w:eastAsia="Arial" w:hAnsi="Arial"/>
          <w:b/>
          <w:bCs/>
          <w:color w:val="2D6A4F"/>
          <w:sz w:val="26"/>
          <w:szCs w:val="26"/>
        </w:rPr>
        <w:t xml:space="preserve">6.1 Milestones Críticos</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c>
          <w:tcPr>
            <w:tcW w:type="dxa" w:w="1700"/>
            <w:tcBorders>
              <w:top w:val="single" w:color="CCCCCC" w:sz="1"/>
              <w:left w:val="single" w:color="CCCCCC" w:sz="1"/>
              <w:bottom w:val="single" w:color="CCCCCC" w:sz="1"/>
              <w:right w:val="single" w:color="CCCCCC" w:sz="1"/>
            </w:tcBorders>
            <w:shd w:fill="1B3A2D" w:val="clear"/>
            <w:tcMar>
              <w:top w:type="dxa" w:w="90"/>
              <w:left w:type="dxa" w:w="110"/>
              <w:bottom w:type="dxa" w:w="90"/>
              <w:right w:type="dxa" w:w="110"/>
            </w:tcMar>
          </w:tcPr>
          <w:p>
            <w:r>
              <w:rPr>
                <w:rFonts w:ascii="Arial" w:cs="Arial" w:eastAsia="Arial" w:hAnsi="Arial"/>
                <w:b/>
                <w:bCs/>
                <w:color w:val="FFFFFF"/>
                <w:sz w:val="20"/>
                <w:szCs w:val="20"/>
              </w:rPr>
              <w:t xml:space="preserve">Fecha</w:t>
            </w:r>
          </w:p>
        </w:tc>
        <w:tc>
          <w:tcPr>
            <w:tcW w:type="dxa" w:w="1500"/>
            <w:tcBorders>
              <w:top w:val="single" w:color="CCCCCC" w:sz="1"/>
              <w:left w:val="single" w:color="CCCCCC" w:sz="1"/>
              <w:bottom w:val="single" w:color="CCCCCC" w:sz="1"/>
              <w:right w:val="single" w:color="CCCCCC" w:sz="1"/>
            </w:tcBorders>
            <w:shd w:fill="1B3A2D" w:val="clear"/>
            <w:tcMar>
              <w:top w:type="dxa" w:w="90"/>
              <w:left w:type="dxa" w:w="110"/>
              <w:bottom w:type="dxa" w:w="90"/>
              <w:right w:type="dxa" w:w="110"/>
            </w:tcMar>
          </w:tcPr>
          <w:p>
            <w:r>
              <w:rPr>
                <w:rFonts w:ascii="Arial" w:cs="Arial" w:eastAsia="Arial" w:hAnsi="Arial"/>
                <w:b/>
                <w:bCs/>
                <w:color w:val="FFFFFF"/>
                <w:sz w:val="20"/>
                <w:szCs w:val="20"/>
              </w:rPr>
              <w:t xml:space="preserve">Hito</w:t>
            </w:r>
          </w:p>
        </w:tc>
        <w:tc>
          <w:tcPr>
            <w:tcW w:type="dxa" w:w="6160"/>
            <w:tcBorders>
              <w:top w:val="single" w:color="CCCCCC" w:sz="1"/>
              <w:left w:val="single" w:color="CCCCCC" w:sz="1"/>
              <w:bottom w:val="single" w:color="CCCCCC" w:sz="1"/>
              <w:right w:val="single" w:color="CCCCCC" w:sz="1"/>
            </w:tcBorders>
            <w:shd w:fill="1B3A2D" w:val="clear"/>
            <w:tcMar>
              <w:top w:type="dxa" w:w="90"/>
              <w:left w:type="dxa" w:w="110"/>
              <w:bottom w:type="dxa" w:w="90"/>
              <w:right w:type="dxa" w:w="110"/>
            </w:tcMar>
          </w:tcPr>
          <w:p>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Marzo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MOU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Firma de carta de intención con primera cooperativa de Tancítaro.</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Abril 2026</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App prototipo</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Prototipo de app móvil con registro de lote y captura fotográfica funcional.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Abril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Testnet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Primer Batch NFT de hueso de aguacate emitido en testnet de Nomad.</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Mayo 2026</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WasteClassifier</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Modelo de clasificación visual de residuos con accuracy &gt;80%.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Junio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100 usuarios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100 productores registrados en app. 300 lotes en testnet.</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Agosto 2026</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Compradores</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3 acuerdos firmados con compradores de semilla de aguacate.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Septiembre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Mainnet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Despliegue en mainnet de Nomad. Primera transacción real de residuos.</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Octubre 2026</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Primera venta</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Primera compraventa de lote de hueso de aguacate completada vía smart contract.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Noviembre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Pre-seed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Cierre de ronda pre-seed USD 500K.</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Enero 2027</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IoT</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5 básculas IoT instaladas en puntos de acopio de Tancítaro y Uruapan.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Junio 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Carbon Credits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Primeros créditos de carbono tokenizados de biomasa de poda verificados.</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Diciembre 2027</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Token PERSEA</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Lanzamiento del token PERSEA en DEX de Nomad. GreenScore activo.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B3A2D"/>
                <w:sz w:val="19"/>
                <w:szCs w:val="19"/>
              </w:rPr>
              <w:t xml:space="preserve">Febrero 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 DAO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2E"/>
                <w:sz w:val="19"/>
                <w:szCs w:val="19"/>
              </w:rPr>
              <w:t xml:space="preserve">Gobernanza descentralizada activa. Cooperativas con voto garantizado.</w:t>
            </w:r>
          </w:p>
        </w:tc>
      </w:tr>
      <w:tr>
        <w:tc>
          <w:tcPr>
            <w:tcW w:type="dxa" w:w="17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bCs/>
                <w:color w:val="1B3A2D"/>
                <w:sz w:val="19"/>
                <w:szCs w:val="19"/>
              </w:rPr>
              <w:t xml:space="preserve">Marzo 2028</w:t>
            </w:r>
          </w:p>
        </w:tc>
        <w:tc>
          <w:tcPr>
            <w:tcW w:type="dxa" w:w="150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 Jalisco</w:t>
            </w:r>
          </w:p>
        </w:tc>
        <w:tc>
          <w:tcPr>
            <w:tcW w:type="dxa" w:w="6160"/>
            <w:tcBorders>
              <w:top w:val="single" w:color="CCCCCC" w:sz="1"/>
              <w:left w:val="single" w:color="CCCCCC" w:sz="1"/>
              <w:bottom w:val="single" w:color="CCCCCC" w:sz="1"/>
              <w:right w:val="single" w:color="CCCCCC" w:sz="1"/>
            </w:tcBorders>
            <w:shd w:fill="E9F5EE" w:val="clear"/>
            <w:tcMar>
              <w:top w:type="dxa" w:w="80"/>
              <w:left w:type="dxa" w:w="110"/>
              <w:bottom w:type="dxa" w:w="80"/>
              <w:right w:type="dxa" w:w="110"/>
            </w:tcMar>
          </w:tcPr>
          <w:p>
            <w:r>
              <w:rPr>
                <w:rFonts w:ascii="Arial" w:cs="Arial" w:eastAsia="Arial" w:hAnsi="Arial"/>
                <w:b w:val="false"/>
                <w:bCs w:val="false"/>
                <w:color w:val="1A1A2E"/>
                <w:sz w:val="19"/>
                <w:szCs w:val="19"/>
              </w:rPr>
              <w:t xml:space="preserve">Expansión del protocolo al segundo mayor productor de aguacate del país.</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7. Plan de Desarrollo — Primeros 60 Días</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Este plan define exactamente qué se construye en las primeras 8 semanas para llegar a un MVP funcional en campo. Velocidad sobre perfección — validar antes de escalar.</w:t>
      </w:r>
    </w:p>
    <w:p>
      <w:pPr>
        <w:spacing w:before="10" w:after="10"/>
      </w:pPr>
    </w:p>
    <w:p>
      <w:pPr>
        <w:pStyle w:val="Heading2"/>
        <w:spacing w:before="280" w:after="140"/>
      </w:pPr>
      <w:r>
        <w:rPr>
          <w:rFonts w:ascii="Arial" w:cs="Arial" w:eastAsia="Arial" w:hAnsi="Arial"/>
          <w:b/>
          <w:bCs/>
          <w:color w:val="2D6A4F"/>
          <w:sz w:val="26"/>
          <w:szCs w:val="26"/>
        </w:rPr>
        <w:t xml:space="preserve">Semanas 1–2: Infraestructura Base</w:t>
      </w:r>
    </w:p>
    <w:p>
      <w:pPr>
        <w:pStyle w:val="ListParagraph"/>
        <w:numPr>
          <w:ilvl w:val="0"/>
          <w:numId w:val="2"/>
        </w:numPr>
        <w:spacing w:before="60" w:after="60"/>
      </w:pPr>
      <w:r>
        <w:rPr>
          <w:rFonts w:ascii="Arial" w:cs="Arial" w:eastAsia="Arial" w:hAnsi="Arial"/>
          <w:color w:val="1A1A2E"/>
          <w:sz w:val="22"/>
          <w:szCs w:val="22"/>
        </w:rPr>
        <w:t xml:space="preserve">Crear monorepo GitHub: /contracts /backend /frontend /mobile /ml con estructura estándar.</w:t>
      </w:r>
    </w:p>
    <w:p>
      <w:pPr>
        <w:pStyle w:val="ListParagraph"/>
        <w:numPr>
          <w:ilvl w:val="0"/>
          <w:numId w:val="2"/>
        </w:numPr>
        <w:spacing w:before="60" w:after="60"/>
      </w:pPr>
      <w:r>
        <w:rPr>
          <w:rFonts w:ascii="Arial" w:cs="Arial" w:eastAsia="Arial" w:hAnsi="Arial"/>
          <w:color w:val="1A1A2E"/>
          <w:sz w:val="22"/>
          <w:szCs w:val="22"/>
        </w:rPr>
        <w:t xml:space="preserve">Configurar Hardhat para Nomad testnet. Obtener RPC endpoint y fondos de testnet.</w:t>
      </w:r>
    </w:p>
    <w:p>
      <w:pPr>
        <w:pStyle w:val="ListParagraph"/>
        <w:numPr>
          <w:ilvl w:val="0"/>
          <w:numId w:val="2"/>
        </w:numPr>
        <w:spacing w:before="60" w:after="60"/>
      </w:pPr>
      <w:r>
        <w:rPr>
          <w:rFonts w:ascii="Arial" w:cs="Arial" w:eastAsia="Arial" w:hAnsi="Arial"/>
          <w:color w:val="1A1A2E"/>
          <w:sz w:val="22"/>
          <w:szCs w:val="22"/>
        </w:rPr>
        <w:t xml:space="preserve">SkinTraceContract v0: función registerBatch(type, weight, ipfsHash) que emite ERC-721 con metadatos de residuo.</w:t>
      </w:r>
    </w:p>
    <w:p>
      <w:pPr>
        <w:pStyle w:val="ListParagraph"/>
        <w:numPr>
          <w:ilvl w:val="0"/>
          <w:numId w:val="2"/>
        </w:numPr>
        <w:spacing w:before="60" w:after="60"/>
      </w:pPr>
      <w:r>
        <w:rPr>
          <w:rFonts w:ascii="Arial" w:cs="Arial" w:eastAsia="Arial" w:hAnsi="Arial"/>
          <w:color w:val="1A1A2E"/>
          <w:sz w:val="22"/>
          <w:szCs w:val="22"/>
        </w:rPr>
        <w:t xml:space="preserve">CI/CD: GitHub Actions — tests automáticos en cada push a main.</w:t>
      </w:r>
    </w:p>
    <w:p>
      <w:pPr>
        <w:pStyle w:val="ListParagraph"/>
        <w:numPr>
          <w:ilvl w:val="0"/>
          <w:numId w:val="2"/>
        </w:numPr>
        <w:spacing w:before="60" w:after="60"/>
      </w:pPr>
      <w:r>
        <w:rPr>
          <w:rFonts w:ascii="Arial" w:cs="Arial" w:eastAsia="Arial" w:hAnsi="Arial"/>
          <w:color w:val="1A1A2E"/>
          <w:sz w:val="22"/>
          <w:szCs w:val="22"/>
        </w:rPr>
        <w:t xml:space="preserve">Setup de PostgreSQL en Railway (dev) y definición de schema: users, batches, cooperatives, transactions.</w:t>
      </w:r>
    </w:p>
    <w:p>
      <w:pPr>
        <w:spacing w:before="10" w:after="10"/>
      </w:pPr>
    </w:p>
    <w:p>
      <w:pPr>
        <w:pStyle w:val="Heading2"/>
        <w:spacing w:before="280" w:after="140"/>
      </w:pPr>
      <w:r>
        <w:rPr>
          <w:rFonts w:ascii="Arial" w:cs="Arial" w:eastAsia="Arial" w:hAnsi="Arial"/>
          <w:b/>
          <w:bCs/>
          <w:color w:val="2D6A4F"/>
          <w:sz w:val="26"/>
          <w:szCs w:val="26"/>
        </w:rPr>
        <w:t xml:space="preserve">Semanas 3–4: Backend y API</w:t>
      </w:r>
    </w:p>
    <w:p>
      <w:pPr>
        <w:pStyle w:val="ListParagraph"/>
        <w:numPr>
          <w:ilvl w:val="0"/>
          <w:numId w:val="2"/>
        </w:numPr>
        <w:spacing w:before="60" w:after="60"/>
      </w:pPr>
      <w:r>
        <w:rPr>
          <w:rFonts w:ascii="Arial" w:cs="Arial" w:eastAsia="Arial" w:hAnsi="Arial"/>
          <w:color w:val="1A1A2E"/>
          <w:sz w:val="22"/>
          <w:szCs w:val="22"/>
        </w:rPr>
        <w:t xml:space="preserve">API Node.js + Express: POST /batches, GET /batches/:id, GET /users/:id/batches.</w:t>
      </w:r>
    </w:p>
    <w:p>
      <w:pPr>
        <w:pStyle w:val="ListParagraph"/>
        <w:numPr>
          <w:ilvl w:val="0"/>
          <w:numId w:val="2"/>
        </w:numPr>
        <w:spacing w:before="60" w:after="60"/>
      </w:pPr>
      <w:r>
        <w:rPr>
          <w:rFonts w:ascii="Arial" w:cs="Arial" w:eastAsia="Arial" w:hAnsi="Arial"/>
          <w:color w:val="1A1A2E"/>
          <w:sz w:val="22"/>
          <w:szCs w:val="22"/>
        </w:rPr>
        <w:t xml:space="preserve">Integración IPFS via web3.storage: endpoint POST /upload recibe foto y devuelve hash IPFS.</w:t>
      </w:r>
    </w:p>
    <w:p>
      <w:pPr>
        <w:pStyle w:val="ListParagraph"/>
        <w:numPr>
          <w:ilvl w:val="0"/>
          <w:numId w:val="2"/>
        </w:numPr>
        <w:spacing w:before="60" w:after="60"/>
      </w:pPr>
      <w:r>
        <w:rPr>
          <w:rFonts w:ascii="Arial" w:cs="Arial" w:eastAsia="Arial" w:hAnsi="Arial"/>
          <w:color w:val="1A1A2E"/>
          <w:sz w:val="22"/>
          <w:szCs w:val="22"/>
        </w:rPr>
        <w:t xml:space="preserve">Listener de eventos: escuchar BatchRegistered del smart contract y sincronizar a PostgreSQL.</w:t>
      </w:r>
    </w:p>
    <w:p>
      <w:pPr>
        <w:pStyle w:val="ListParagraph"/>
        <w:numPr>
          <w:ilvl w:val="0"/>
          <w:numId w:val="2"/>
        </w:numPr>
        <w:spacing w:before="60" w:after="60"/>
      </w:pPr>
      <w:r>
        <w:rPr>
          <w:rFonts w:ascii="Arial" w:cs="Arial" w:eastAsia="Arial" w:hAnsi="Arial"/>
          <w:color w:val="1A1A2E"/>
          <w:sz w:val="22"/>
          <w:szCs w:val="22"/>
        </w:rPr>
        <w:t xml:space="preserve">Autenticación JWT: login con wallet (firma de mensaje) o email + OTP para productores sin wallet.</w:t>
      </w:r>
    </w:p>
    <w:p>
      <w:pPr>
        <w:spacing w:before="10" w:after="10"/>
      </w:pPr>
    </w:p>
    <w:p>
      <w:pPr>
        <w:pStyle w:val="Heading2"/>
        <w:spacing w:before="280" w:after="140"/>
      </w:pPr>
      <w:r>
        <w:rPr>
          <w:rFonts w:ascii="Arial" w:cs="Arial" w:eastAsia="Arial" w:hAnsi="Arial"/>
          <w:b/>
          <w:bCs/>
          <w:color w:val="2D6A4F"/>
          <w:sz w:val="26"/>
          <w:szCs w:val="26"/>
        </w:rPr>
        <w:t xml:space="preserve">Semanas 5–6: App Móvil MVP</w:t>
      </w:r>
    </w:p>
    <w:p>
      <w:pPr>
        <w:pStyle w:val="ListParagraph"/>
        <w:numPr>
          <w:ilvl w:val="0"/>
          <w:numId w:val="2"/>
        </w:numPr>
        <w:spacing w:before="60" w:after="60"/>
      </w:pPr>
      <w:r>
        <w:rPr>
          <w:rFonts w:ascii="Arial" w:cs="Arial" w:eastAsia="Arial" w:hAnsi="Arial"/>
          <w:color w:val="1A1A2E"/>
          <w:sz w:val="22"/>
          <w:szCs w:val="22"/>
        </w:rPr>
        <w:t xml:space="preserve">Pantallas: Login → Inicio (resumen de lotes) → Registrar Lote → Mis Lotes → Mi Score.</w:t>
      </w:r>
    </w:p>
    <w:p>
      <w:pPr>
        <w:pStyle w:val="ListParagraph"/>
        <w:numPr>
          <w:ilvl w:val="0"/>
          <w:numId w:val="2"/>
        </w:numPr>
        <w:spacing w:before="60" w:after="60"/>
      </w:pPr>
      <w:r>
        <w:rPr>
          <w:rFonts w:ascii="Arial" w:cs="Arial" w:eastAsia="Arial" w:hAnsi="Arial"/>
          <w:color w:val="1A1A2E"/>
          <w:sz w:val="22"/>
          <w:szCs w:val="22"/>
        </w:rPr>
        <w:t xml:space="preserve">Flujo de registro: seleccionar tipo de residuo → foto → peso → confirmar → NFT emitido.</w:t>
      </w:r>
    </w:p>
    <w:p>
      <w:pPr>
        <w:pStyle w:val="ListParagraph"/>
        <w:numPr>
          <w:ilvl w:val="0"/>
          <w:numId w:val="2"/>
        </w:numPr>
        <w:spacing w:before="60" w:after="60"/>
      </w:pPr>
      <w:r>
        <w:rPr>
          <w:rFonts w:ascii="Arial" w:cs="Arial" w:eastAsia="Arial" w:hAnsi="Arial"/>
          <w:color w:val="1A1A2E"/>
          <w:sz w:val="22"/>
          <w:szCs w:val="22"/>
        </w:rPr>
        <w:t xml:space="preserve">Modo offline: guardar lotes en SQLite local y sincronizar al recuperar conectividad.</w:t>
      </w:r>
    </w:p>
    <w:p>
      <w:pPr>
        <w:pStyle w:val="ListParagraph"/>
        <w:numPr>
          <w:ilvl w:val="0"/>
          <w:numId w:val="2"/>
        </w:numPr>
        <w:spacing w:before="60" w:after="60"/>
      </w:pPr>
      <w:r>
        <w:rPr>
          <w:rFonts w:ascii="Arial" w:cs="Arial" w:eastAsia="Arial" w:hAnsi="Arial"/>
          <w:color w:val="1A1A2E"/>
          <w:sz w:val="22"/>
          <w:szCs w:val="22"/>
        </w:rPr>
        <w:t xml:space="preserve">Generación de QR con ID de Batch NFT para seguimiento físico del lote.</w:t>
      </w:r>
    </w:p>
    <w:p>
      <w:pPr>
        <w:spacing w:before="10" w:after="10"/>
      </w:pPr>
    </w:p>
    <w:p>
      <w:pPr>
        <w:pStyle w:val="Heading2"/>
        <w:spacing w:before="280" w:after="140"/>
      </w:pPr>
      <w:r>
        <w:rPr>
          <w:rFonts w:ascii="Arial" w:cs="Arial" w:eastAsia="Arial" w:hAnsi="Arial"/>
          <w:b/>
          <w:bCs/>
          <w:color w:val="2D6A4F"/>
          <w:sz w:val="26"/>
          <w:szCs w:val="26"/>
        </w:rPr>
        <w:t xml:space="preserve">Semanas 7–8: WasteClassifier IA</w:t>
      </w:r>
    </w:p>
    <w:p>
      <w:pPr>
        <w:pStyle w:val="ListParagraph"/>
        <w:numPr>
          <w:ilvl w:val="0"/>
          <w:numId w:val="2"/>
        </w:numPr>
        <w:spacing w:before="60" w:after="60"/>
      </w:pPr>
      <w:r>
        <w:rPr>
          <w:rFonts w:ascii="Arial" w:cs="Arial" w:eastAsia="Arial" w:hAnsi="Arial"/>
          <w:color w:val="1A1A2E"/>
          <w:sz w:val="22"/>
          <w:szCs w:val="22"/>
        </w:rPr>
        <w:t xml:space="preserve">Recolectar 200+ fotos etiquetadas de hueso, cáscara y pulpa de aguacate (campo + internet).</w:t>
      </w:r>
    </w:p>
    <w:p>
      <w:pPr>
        <w:pStyle w:val="ListParagraph"/>
        <w:numPr>
          <w:ilvl w:val="0"/>
          <w:numId w:val="2"/>
        </w:numPr>
        <w:spacing w:before="60" w:after="60"/>
      </w:pPr>
      <w:r>
        <w:rPr>
          <w:rFonts w:ascii="Arial" w:cs="Arial" w:eastAsia="Arial" w:hAnsi="Arial"/>
          <w:color w:val="1A1A2E"/>
          <w:sz w:val="22"/>
          <w:szCs w:val="22"/>
        </w:rPr>
        <w:t xml:space="preserve">Fine-tuning de YOLOv8 nano para clasificación de 4 clases de residuo de aguacate.</w:t>
      </w:r>
    </w:p>
    <w:p>
      <w:pPr>
        <w:pStyle w:val="ListParagraph"/>
        <w:numPr>
          <w:ilvl w:val="0"/>
          <w:numId w:val="2"/>
        </w:numPr>
        <w:spacing w:before="60" w:after="60"/>
      </w:pPr>
      <w:r>
        <w:rPr>
          <w:rFonts w:ascii="Arial" w:cs="Arial" w:eastAsia="Arial" w:hAnsi="Arial"/>
          <w:color w:val="1A1A2E"/>
          <w:sz w:val="22"/>
          <w:szCs w:val="22"/>
        </w:rPr>
        <w:t xml:space="preserve">API FastAPI: POST /classify recibe imagen, devuelve {tipo, confianza, calidad_estimada}.</w:t>
      </w:r>
    </w:p>
    <w:p>
      <w:pPr>
        <w:pStyle w:val="ListParagraph"/>
        <w:numPr>
          <w:ilvl w:val="0"/>
          <w:numId w:val="2"/>
        </w:numPr>
        <w:spacing w:before="60" w:after="60"/>
      </w:pPr>
      <w:r>
        <w:rPr>
          <w:rFonts w:ascii="Arial" w:cs="Arial" w:eastAsia="Arial" w:hAnsi="Arial"/>
          <w:color w:val="1A1A2E"/>
          <w:sz w:val="22"/>
          <w:szCs w:val="22"/>
        </w:rPr>
        <w:t xml:space="preserve">Integrar clasificador en app: la cámara sugiere el tipo de residuo automáticamente antes de confirmar el registro.</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260"/>
              <w:left w:type="dxa" w:w="360"/>
              <w:bottom w:type="dxa" w:w="260"/>
              <w:right w:type="dxa" w:w="360"/>
            </w:tcMar>
          </w:tcPr>
          <w:p>
            <w:pPr>
              <w:spacing w:before="40" w:after="40"/>
              <w:jc w:val="center"/>
            </w:pPr>
            <w:r>
              <w:rPr>
                <w:rFonts w:ascii="Arial" w:cs="Arial" w:eastAsia="Arial" w:hAnsi="Arial"/>
                <w:b/>
                <w:bCs/>
                <w:color w:val="FFFFFF"/>
                <w:sz w:val="22"/>
                <w:szCs w:val="22"/>
              </w:rPr>
              <w:t xml:space="preserve">Al final de la Semana 8 — PERSÉA MVP:</w:t>
            </w:r>
          </w:p>
          <w:p>
            <w:pPr>
              <w:spacing w:before="40" w:after="40"/>
              <w:jc w:val="center"/>
            </w:pPr>
            <w:r>
              <w:rPr>
                <w:rFonts w:ascii="Arial" w:cs="Arial" w:eastAsia="Arial" w:hAnsi="Arial"/>
                <w:b w:val="false"/>
                <w:bCs w:val="false"/>
                <w:color w:val="FFFFFF"/>
                <w:sz w:val="20"/>
                <w:szCs w:val="20"/>
              </w:rPr>
              <w:t xml:space="preserve">✓ Smart contract en testnet Nomad   ✓ App móvil funcional offline   ✓ Backend con API   ✓ IA clasificadora de residuos   ✓ Primer Batch NFT de hueso de aguacate emitido</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8. Principios Éticos del Protocolo</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PERSÉA opera bajo un contrato social explícito con las comunidades productoras de aguacate. Estos no son valores de marketing — son restricciones técnicas y legales incorporadas al protocolo:</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Soberanía de datos del productor</w:t>
            </w:r>
          </w:p>
          <w:p>
            <w:pPr>
              <w:spacing w:before="50" w:after="0"/>
            </w:pPr>
            <w:r>
              <w:rPr>
                <w:rFonts w:ascii="Arial" w:cs="Arial" w:eastAsia="Arial" w:hAnsi="Arial"/>
                <w:color w:val="1A1A2E"/>
                <w:sz w:val="20"/>
                <w:szCs w:val="20"/>
              </w:rPr>
              <w:t xml:space="preserve">Cada productor es propietario de sus datos. El smart contract SeedConsentContract requiere aprobación explícita antes de que ningún dato individual sea compartido o monetizado.</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Precio mínimo garantizado</w:t>
            </w:r>
          </w:p>
          <w:p>
            <w:pPr>
              <w:spacing w:before="50" w:after="0"/>
            </w:pPr>
            <w:r>
              <w:rPr>
                <w:rFonts w:ascii="Arial" w:cs="Arial" w:eastAsia="Arial" w:hAnsi="Arial"/>
                <w:color w:val="1A1A2E"/>
                <w:sz w:val="20"/>
                <w:szCs w:val="20"/>
              </w:rPr>
              <w:t xml:space="preserve">Los smart contracts del PitMarket tienen un floor de precio mínimo por tipo de residuo, calculado por oráculo descentralizado. Imposible para compradores ofrecer por debajo del precio justo.</w:t>
            </w:r>
          </w:p>
        </w:tc>
      </w:tr>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Distribución de ingresos por datos</w:t>
            </w:r>
          </w:p>
          <w:p>
            <w:pPr>
              <w:spacing w:before="50" w:after="0"/>
            </w:pPr>
            <w:r>
              <w:rPr>
                <w:rFonts w:ascii="Arial" w:cs="Arial" w:eastAsia="Arial" w:hAnsi="Arial"/>
                <w:color w:val="1A1A2E"/>
                <w:sz w:val="20"/>
                <w:szCs w:val="20"/>
              </w:rPr>
              <w:t xml:space="preserve">El 40% de los ingresos de la API SeedData se redistribuye a los productores cuya data genera el insight. Distribuido automáticamente vía smart contract mensual.</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Acceso sin wallet requerida</w:t>
            </w:r>
          </w:p>
          <w:p>
            <w:pPr>
              <w:spacing w:before="50" w:after="0"/>
            </w:pPr>
            <w:r>
              <w:rPr>
                <w:rFonts w:ascii="Arial" w:cs="Arial" w:eastAsia="Arial" w:hAnsi="Arial"/>
                <w:color w:val="1A1A2E"/>
                <w:sz w:val="20"/>
                <w:szCs w:val="20"/>
              </w:rPr>
              <w:t xml:space="preserve">Los productores pueden registrarse con email + OTP. El protocolo abstrae la complejidad de blockchain. Un productor de 60 años en Tancítaro no necesita saber qué es un NFT para usar PERSÉA.</w:t>
            </w:r>
          </w:p>
        </w:tc>
      </w:tr>
      <w:tr>
        <w:tc>
          <w:tcPr>
            <w:tcW w:type="dxa" w:w="4620"/>
            <w:tcBorders>
              <w:top w:val="single" w:color="CCCCCC" w:sz="1"/>
              <w:left w:val="single" w:color="CCCCCC" w:sz="1"/>
              <w:bottom w:val="single" w:color="CCCCCC" w:sz="1"/>
              <w:right w:val="single" w:color="CCCCCC" w:sz="1"/>
            </w:tcBorders>
            <w:shd w:fill="E9F5EE" w:val="clear"/>
            <w:tcMar>
              <w:top w:type="dxa" w:w="120"/>
              <w:left w:type="dxa" w:w="160"/>
              <w:bottom w:type="dxa" w:w="120"/>
              <w:right w:type="dxa" w:w="160"/>
            </w:tcMar>
          </w:tcPr>
          <w:p>
            <w:r>
              <w:rPr>
                <w:rFonts w:ascii="Arial" w:cs="Arial" w:eastAsia="Arial" w:hAnsi="Arial"/>
                <w:b/>
                <w:bCs/>
                <w:color w:val="1B3A2D"/>
                <w:sz w:val="21"/>
                <w:szCs w:val="21"/>
              </w:rPr>
              <w:t xml:space="preserve">Código abierto</w:t>
            </w:r>
          </w:p>
          <w:p>
            <w:pPr>
              <w:spacing w:before="50" w:after="0"/>
            </w:pPr>
            <w:r>
              <w:rPr>
                <w:rFonts w:ascii="Arial" w:cs="Arial" w:eastAsia="Arial" w:hAnsi="Arial"/>
                <w:color w:val="1A1A2E"/>
                <w:sz w:val="20"/>
                <w:szCs w:val="20"/>
              </w:rPr>
              <w:t xml:space="preserve">Los contratos inteligentes y el protocolo core son open-source (licencia MIT). Las cooperativas pueden auditar, verificar y hacer fork del protocolo si lo desean.</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62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r>
              <w:rPr>
                <w:rFonts w:ascii="Arial" w:cs="Arial" w:eastAsia="Arial" w:hAnsi="Arial"/>
                <w:b/>
                <w:bCs/>
                <w:color w:val="B5860D"/>
                <w:sz w:val="21"/>
                <w:szCs w:val="21"/>
              </w:rPr>
              <w:t xml:space="preserve">Sin extractivismo</w:t>
            </w:r>
          </w:p>
          <w:p>
            <w:pPr>
              <w:spacing w:before="50" w:after="0"/>
            </w:pPr>
            <w:r>
              <w:rPr>
                <w:rFonts w:ascii="Arial" w:cs="Arial" w:eastAsia="Arial" w:hAnsi="Arial"/>
                <w:color w:val="1A1A2E"/>
                <w:sz w:val="20"/>
                <w:szCs w:val="20"/>
              </w:rPr>
              <w:t xml:space="preserve">Las comisiones de PERSÉA (1.5% en marketplace) están diseñadas para ser siempre menores al ahorro que genera la plataforma al eliminar intermediarios. El protocolo no puede prosperar sin que los productores prosperen primero.</w:t>
            </w:r>
          </w:p>
        </w:tc>
      </w:tr>
    </w:tbl>
    <w:p>
      <w:pPr>
        <w:spacing w:before="20" w:after="20"/>
      </w:pPr>
      <w:r>
        <w:br w:type="page"/>
      </w:r>
    </w:p>
    <w:p>
      <w:pPr>
        <w:pStyle w:val="Heading1"/>
        <w:spacing w:before="380" w:after="180"/>
      </w:pPr>
      <w:r>
        <w:rPr>
          <w:rFonts w:ascii="Arial" w:cs="Arial" w:eastAsia="Arial" w:hAnsi="Arial"/>
          <w:b/>
          <w:bCs/>
          <w:color w:val="1B3A2D"/>
          <w:sz w:val="34"/>
          <w:szCs w:val="34"/>
        </w:rPr>
        <w:t xml:space="preserve">9. ¡Construyamos PERSÉA — Esta Semana</w:t>
      </w:r>
    </w:p>
    <w:p>
      <w:pPr>
        <w:pBdr>
          <w:bottom w:val="single" w:color="2D6A4F" w:sz="5" w:space="1"/>
        </w:pBdr>
        <w:spacing w:before="160" w:after="160"/>
      </w:pPr>
    </w:p>
    <w:p>
      <w:pPr>
        <w:spacing w:before="80" w:after="100"/>
      </w:pPr>
      <w:r>
        <w:rPr>
          <w:rFonts w:ascii="Arial" w:cs="Arial" w:eastAsia="Arial" w:hAnsi="Arial"/>
          <w:color w:val="1A1A2E"/>
          <w:sz w:val="22"/>
          <w:szCs w:val="22"/>
        </w:rPr>
        <w:t xml:space="preserve">El protocolo está diseñado. Los datos validan la oportunidad. Tancítaro está a la espera. Lo que sigue es escribir el primer commit.</w:t>
      </w:r>
    </w:p>
    <w:p>
      <w:pPr>
        <w:spacing w:before="10" w:after="10"/>
      </w:pPr>
    </w:p>
    <w:p>
      <w:pPr>
        <w:pStyle w:val="Heading2"/>
        <w:spacing w:before="280" w:after="140"/>
      </w:pPr>
      <w:r>
        <w:rPr>
          <w:rFonts w:ascii="Arial" w:cs="Arial" w:eastAsia="Arial" w:hAnsi="Arial"/>
          <w:b/>
          <w:bCs/>
          <w:color w:val="2D6A4F"/>
          <w:sz w:val="26"/>
          <w:szCs w:val="26"/>
        </w:rPr>
        <w:t xml:space="preserve">Acciones Inmediatas — Esta Semana</w:t>
      </w:r>
    </w:p>
    <w:p>
      <w:pPr>
        <w:pStyle w:val="ListParagraph"/>
        <w:numPr>
          <w:ilvl w:val="0"/>
          <w:numId w:val="2"/>
        </w:numPr>
        <w:spacing w:before="60" w:after="60"/>
      </w:pPr>
      <w:r>
        <w:rPr>
          <w:rFonts w:ascii="Arial" w:cs="Arial" w:eastAsia="Arial" w:hAnsi="Arial"/>
          <w:color w:val="1A1A2E"/>
          <w:sz w:val="22"/>
          <w:szCs w:val="22"/>
        </w:rPr>
        <w:t xml:space="preserve">Crear repositorio: github.com/persea-protocol con estructura de monorepo.</w:t>
      </w:r>
    </w:p>
    <w:p>
      <w:pPr>
        <w:pStyle w:val="ListParagraph"/>
        <w:numPr>
          <w:ilvl w:val="0"/>
          <w:numId w:val="2"/>
        </w:numPr>
        <w:spacing w:before="60" w:after="60"/>
      </w:pPr>
      <w:r>
        <w:rPr>
          <w:rFonts w:ascii="Arial" w:cs="Arial" w:eastAsia="Arial" w:hAnsi="Arial"/>
          <w:color w:val="1A1A2E"/>
          <w:sz w:val="22"/>
          <w:szCs w:val="22"/>
        </w:rPr>
        <w:t xml:space="preserve">Registrar dominio: perseaprotocol.io y persea.mx.</w:t>
      </w:r>
    </w:p>
    <w:p>
      <w:pPr>
        <w:pStyle w:val="ListParagraph"/>
        <w:numPr>
          <w:ilvl w:val="0"/>
          <w:numId w:val="2"/>
        </w:numPr>
        <w:spacing w:before="60" w:after="60"/>
      </w:pPr>
      <w:r>
        <w:rPr>
          <w:rFonts w:ascii="Arial" w:cs="Arial" w:eastAsia="Arial" w:hAnsi="Arial"/>
          <w:color w:val="1A1A2E"/>
          <w:sz w:val="22"/>
          <w:szCs w:val="22"/>
        </w:rPr>
        <w:t xml:space="preserve">Obtener acceso RPC de Nomad testnet y configurar Hardhat.</w:t>
      </w:r>
    </w:p>
    <w:p>
      <w:pPr>
        <w:pStyle w:val="ListParagraph"/>
        <w:numPr>
          <w:ilvl w:val="0"/>
          <w:numId w:val="2"/>
        </w:numPr>
        <w:spacing w:before="60" w:after="60"/>
      </w:pPr>
      <w:r>
        <w:rPr>
          <w:rFonts w:ascii="Arial" w:cs="Arial" w:eastAsia="Arial" w:hAnsi="Arial"/>
          <w:color w:val="1A1A2E"/>
          <w:sz w:val="22"/>
          <w:szCs w:val="22"/>
        </w:rPr>
        <w:t xml:space="preserve">Contactar a APEAM (Asociación de Productores y Empacadores de Aguacate de México) en Uruapan para agendar visita en Tancítaro.</w:t>
      </w:r>
    </w:p>
    <w:p>
      <w:pPr>
        <w:pStyle w:val="ListParagraph"/>
        <w:numPr>
          <w:ilvl w:val="0"/>
          <w:numId w:val="2"/>
        </w:numPr>
        <w:spacing w:before="60" w:after="60"/>
      </w:pPr>
      <w:r>
        <w:rPr>
          <w:rFonts w:ascii="Arial" w:cs="Arial" w:eastAsia="Arial" w:hAnsi="Arial"/>
          <w:color w:val="1A1A2E"/>
          <w:sz w:val="22"/>
          <w:szCs w:val="22"/>
        </w:rPr>
        <w:t xml:space="preserve">Descargar datasets SIAP de producción de aguacate en Michoacán 2018–2024 como base del modelo IA.</w:t>
      </w:r>
    </w:p>
    <w:p>
      <w:pPr>
        <w:spacing w:before="10" w:after="10"/>
      </w:pPr>
    </w:p>
    <w:p>
      <w:pPr>
        <w:pStyle w:val="Heading2"/>
        <w:spacing w:before="280" w:after="140"/>
      </w:pPr>
      <w:r>
        <w:rPr>
          <w:rFonts w:ascii="Arial" w:cs="Arial" w:eastAsia="Arial" w:hAnsi="Arial"/>
          <w:b/>
          <w:bCs/>
          <w:color w:val="2D6A4F"/>
          <w:sz w:val="26"/>
          <w:szCs w:val="26"/>
        </w:rPr>
        <w:t xml:space="preserve">Semana 2 — Campo</w:t>
      </w:r>
    </w:p>
    <w:p>
      <w:pPr>
        <w:pStyle w:val="ListParagraph"/>
        <w:numPr>
          <w:ilvl w:val="0"/>
          <w:numId w:val="2"/>
        </w:numPr>
        <w:spacing w:before="60" w:after="60"/>
      </w:pPr>
      <w:r>
        <w:rPr>
          <w:rFonts w:ascii="Arial" w:cs="Arial" w:eastAsia="Arial" w:hAnsi="Arial"/>
          <w:color w:val="1A1A2E"/>
          <w:sz w:val="22"/>
          <w:szCs w:val="22"/>
        </w:rPr>
        <w:t xml:space="preserve">Visita a Tancítaro: reunión con cooperativa aguacatera para firma de carta de intención.</w:t>
      </w:r>
    </w:p>
    <w:p>
      <w:pPr>
        <w:pStyle w:val="ListParagraph"/>
        <w:numPr>
          <w:ilvl w:val="0"/>
          <w:numId w:val="2"/>
        </w:numPr>
        <w:spacing w:before="60" w:after="60"/>
      </w:pPr>
      <w:r>
        <w:rPr>
          <w:rFonts w:ascii="Arial" w:cs="Arial" w:eastAsia="Arial" w:hAnsi="Arial"/>
          <w:color w:val="1A1A2E"/>
          <w:sz w:val="22"/>
          <w:szCs w:val="22"/>
        </w:rPr>
        <w:t xml:space="preserve">Fotografiar residuos en punto de acopio: recolectar dataset inicial para WasteClassifier.</w:t>
      </w:r>
    </w:p>
    <w:p>
      <w:pPr>
        <w:pStyle w:val="ListParagraph"/>
        <w:numPr>
          <w:ilvl w:val="0"/>
          <w:numId w:val="2"/>
        </w:numPr>
        <w:spacing w:before="60" w:after="60"/>
      </w:pPr>
      <w:r>
        <w:rPr>
          <w:rFonts w:ascii="Arial" w:cs="Arial" w:eastAsia="Arial" w:hAnsi="Arial"/>
          <w:color w:val="1A1A2E"/>
          <w:sz w:val="22"/>
          <w:szCs w:val="22"/>
        </w:rPr>
        <w:t xml:space="preserve">Mapear 3–5 puntos de acopio candidatos para instalación futura de básculas IoT.</w:t>
      </w:r>
    </w:p>
    <w:p>
      <w:pPr>
        <w:pStyle w:val="ListParagraph"/>
        <w:numPr>
          <w:ilvl w:val="0"/>
          <w:numId w:val="2"/>
        </w:numPr>
        <w:spacing w:before="60" w:after="60"/>
      </w:pPr>
      <w:r>
        <w:rPr>
          <w:rFonts w:ascii="Arial" w:cs="Arial" w:eastAsia="Arial" w:hAnsi="Arial"/>
          <w:color w:val="1A1A2E"/>
          <w:sz w:val="22"/>
          <w:szCs w:val="22"/>
        </w:rPr>
        <w:t xml:space="preserve">Identificar 20 productores early adopters dispuestos a usar la app beta.</w:t>
      </w:r>
    </w:p>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260"/>
              <w:left w:type="dxa" w:w="360"/>
              <w:bottom w:type="dxa" w:w="260"/>
              <w:right w:type="dxa" w:w="360"/>
            </w:tcMar>
          </w:tcPr>
          <w:p>
            <w:pPr>
              <w:spacing w:before="40" w:after="40"/>
              <w:jc w:val="center"/>
            </w:pPr>
            <w:r>
              <w:rPr>
                <w:rFonts w:ascii="Arial" w:cs="Arial" w:eastAsia="Arial" w:hAnsi="Arial"/>
                <w:b/>
                <w:bCs/>
                <w:color w:val="FFFFFF"/>
                <w:sz w:val="32"/>
                <w:szCs w:val="32"/>
              </w:rPr>
              <w:t xml:space="preserve">PERSÉA PROTOCOL</w:t>
            </w:r>
          </w:p>
          <w:p>
            <w:pPr>
              <w:spacing w:before="40" w:after="40"/>
              <w:jc w:val="center"/>
            </w:pPr>
            <w:r>
              <w:rPr>
                <w:rFonts w:ascii="Arial" w:cs="Arial" w:eastAsia="Arial" w:hAnsi="Arial"/>
                <w:b w:val="false"/>
                <w:bCs w:val="false"/>
                <w:color w:val="FFFFFF"/>
                <w:sz w:val="21"/>
                <w:szCs w:val="21"/>
              </w:rPr>
              <w:t xml:space="preserve">perseaprotocol.io  ·  contacto@perseaprotocol.io  ·  @perseaprotocol</w:t>
            </w:r>
          </w:p>
          <w:p>
            <w:pPr>
              <w:spacing w:before="40" w:after="40"/>
              <w:jc w:val="left"/>
            </w:pPr>
            <w:r>
              <w:rPr>
                <w:rFonts w:ascii="Arial" w:cs="Arial" w:eastAsia="Arial" w:hAnsi="Arial"/>
                <w:b w:val="false"/>
                <w:bCs w:val="false"/>
                <w:color w:val="FFFFFF"/>
                <w:sz w:val="14"/>
                <w:szCs w:val="14"/>
              </w:rPr>
              <w:t xml:space="preserve"/>
            </w:r>
          </w:p>
          <w:p>
            <w:pPr>
              <w:spacing w:before="40" w:after="40"/>
              <w:jc w:val="center"/>
            </w:pPr>
            <w:r>
              <w:rPr>
                <w:rFonts w:ascii="Arial" w:cs="Arial" w:eastAsia="Arial" w:hAnsi="Arial"/>
                <w:b w:val="false"/>
                <w:bCs w:val="false"/>
                <w:color w:val="FFFFFF"/>
                <w:sz w:val="20"/>
                <w:szCs w:val="20"/>
              </w:rPr>
              <w:t xml:space="preserve">github.com/persea-protocol  ·  Tancítaro, Michoacán — Nodo Genesis</w:t>
            </w:r>
          </w:p>
        </w:tc>
      </w:tr>
    </w:tbl>
    <w:p>
      <w:pPr>
        <w:spacing w:before="8"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5EE" w:val="clear"/>
            <w:tcMar>
              <w:top w:type="dxa" w:w="260"/>
              <w:left w:type="dxa" w:w="360"/>
              <w:bottom w:type="dxa" w:w="260"/>
              <w:right w:type="dxa" w:w="360"/>
            </w:tcMar>
          </w:tcPr>
          <w:p>
            <w:pPr>
              <w:spacing w:before="40" w:after="40"/>
              <w:jc w:val="center"/>
            </w:pPr>
            <w:r>
              <w:rPr>
                <w:rFonts w:ascii="Arial" w:cs="Arial" w:eastAsia="Arial" w:hAnsi="Arial"/>
                <w:b w:val="false"/>
                <w:bCs w:val="false"/>
                <w:color w:val="2D6A4F"/>
                <w:sz w:val="18"/>
                <w:szCs w:val="18"/>
              </w:rPr>
              <w:t xml:space="preserve">Datos: SADER-DGSIAP 2024, SIAP, INEGI Censo Agropecuario 2022, APEAM 2023.</w:t>
            </w:r>
          </w:p>
          <w:p>
            <w:pPr>
              <w:spacing w:before="40" w:after="40"/>
              <w:jc w:val="center"/>
            </w:pPr>
            <w:r>
              <w:rPr>
                <w:rFonts w:ascii="Arial" w:cs="Arial" w:eastAsia="Arial" w:hAnsi="Arial"/>
                <w:b w:val="false"/>
                <w:bCs w:val="false"/>
                <w:color w:val="2D6A4F"/>
                <w:sz w:val="18"/>
                <w:szCs w:val="18"/>
              </w:rPr>
              <w:t xml:space="preserve">PERSÉA Protocol v1.0 — Documento vivo, sujeto a actualización iterativa con la comunidad.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80"/>
      <w:outlineLvl w:val="0"/>
    </w:pPr>
    <w:rPr>
      <w:rFonts w:ascii="Arial" w:cs="Arial" w:eastAsia="Arial" w:hAnsi="Arial"/>
      <w:b/>
      <w:bCs/>
      <w:color w:val="1B3A2D"/>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2026-02-21T20:08:34.101Z</dcterms:created>
  <dcterms:modified xsi:type="dcterms:W3CDTF">2026-02-21T20:08:34.102Z</dcterms:modified>
</cp:coreProperties>
</file>

<file path=docProps/custom.xml><?xml version="1.0" encoding="utf-8"?>
<Properties xmlns="http://schemas.openxmlformats.org/officeDocument/2006/custom-properties" xmlns:vt="http://schemas.openxmlformats.org/officeDocument/2006/docPropsVTypes"/>
</file>