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Allocator thread — state of play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Date: </w:t>
      </w:r>
      <w:r>
        <w:rPr>
          <w:rFonts w:ascii="Calibri" w:cs="Calibri" w:eastAsia="Calibri" w:hAnsi="Calibri"/>
          <w:sz w:val="21"/>
          <w:szCs w:val="21"/>
        </w:rPr>
        <w:t xml:space="preserve">2026-09-01 (evening)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Supersedes: </w:t>
      </w:r>
      <w:r>
        <w:rPr>
          <w:rFonts w:ascii="Calibri" w:cs="Calibri" w:eastAsia="Calibri" w:hAnsi="Calibri"/>
          <w:sz w:val="21"/>
          <w:szCs w:val="21"/>
        </w:rPr>
        <w:t xml:space="preserve">the morning version of this file, and the 2026-08-31 state of play. Both remain in git history; nothing in them is needed to read this.</w:t>
      </w:r>
    </w:p>
    <w:p>
      <w:pPr>
        <w:spacing w:after="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Status: </w:t>
      </w:r>
      <w:r>
        <w:rPr>
          <w:rFonts w:ascii="Calibri" w:cs="Calibri" w:eastAsia="Calibri" w:hAnsi="Calibri"/>
          <w:sz w:val="21"/>
          <w:szCs w:val="21"/>
        </w:rPr>
        <w:t xml:space="preserve">the allocator configuration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settled</w:t>
      </w:r>
      <w:r>
        <w:rPr>
          <w:rFonts w:ascii="Calibri" w:cs="Calibri" w:eastAsia="Calibri" w:hAnsi="Calibri"/>
          <w:sz w:val="21"/>
          <w:szCs w:val="21"/>
        </w:rPr>
        <w:t xml:space="preserve">. What remains is a build decision and a small number of measured-but-undecided parameters.</w:t>
      </w:r>
    </w:p>
    <w:p>
      <w:pPr>
        <w:pBdr>
          <w:bottom w:val="single" w:color="C7D0D9" w:sz="6"/>
        </w:pBdr>
        <w:spacing w:after="240" w:before="240"/>
      </w:pPr>
      <w:r>
        <w:t xml:space="preserve"/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1. Where the thread stands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Eight measurement sessions since 2026-08-30. The funding question is closed, the session model is proven bit-exact against the validated harness, the cadence axis is bracketed at both ends, and the last major unmeasured axis — the user veto — has been measured.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design is decided. The open items are second-order.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2. The settled configuration</w:t>
      </w:r>
    </w:p>
    <w:tbl>
      <w:tblPr>
        <w:tblW w:type="dxa" w:w="10080"/>
        <w:tblBorders>
          <w:top w:val="single" w:color="C7D0D9" w:sz="2"/>
          <w:left w:val="single" w:color="C7D0D9" w:sz="2"/>
          <w:bottom w:val="single" w:color="C7D0D9" w:sz="2"/>
          <w:right w:val="single" w:color="C7D0D9" w:sz="2"/>
          <w:insideH w:val="single" w:color="DCE3EA" w:sz="1"/>
          <w:insideV w:val="single" w:color="DCE3EA" w:sz="1"/>
        </w:tblBorders>
      </w:tblPr>
      <w:tblGrid>
        <w:gridCol w:w="2500"/>
        <w:gridCol w:w="3200"/>
        <w:gridCol w:w="4380"/>
      </w:tblGrid>
      <w:tr>
        <w:trPr>
          <w:tblHeader/>
        </w:trPr>
        <w:tc>
          <w:tcPr>
            <w:tcW w:type="dxa" w:w="25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Parameter</w:t>
            </w:r>
          </w:p>
        </w:tc>
        <w:tc>
          <w:tcPr>
            <w:tcW w:type="dxa" w:w="32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438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Basis</w:t>
            </w:r>
          </w:p>
        </w:tc>
      </w:tr>
      <w:t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Funding mode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swap_funding, conformant per-date trim cap</w:t>
            </w:r>
          </w:p>
        </w:tc>
        <w:tc>
          <w:tcPr>
            <w:tcW w:type="dxa" w:w="43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+7.5% return for +1.0pp drawdown like-for-like; §10 rule 4 says this corpus understates it</w:t>
            </w:r>
          </w:p>
        </w:tc>
      </w:tr>
      <w:tr>
        <w:tc>
          <w:tcPr>
            <w:tcW w:type="dxa" w:w="25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Cadence K</w:t>
            </w:r>
          </w:p>
        </w:tc>
        <w:tc>
          <w:tcPr>
            <w:tcW w:type="dxa" w:w="32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 days</w:t>
            </w:r>
          </w:p>
        </w:tc>
        <w:tc>
          <w:tcPr>
            <w:tcW w:type="dxa" w:w="43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operational discipline, with the return/risk trade understood</w:t>
            </w:r>
          </w:p>
        </w:tc>
      </w:tr>
      <w:t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Scope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new_calls_only — in this version</w:t>
            </w:r>
          </w:p>
        </w:tc>
        <w:tc>
          <w:tcPr>
            <w:tcW w:type="dxa" w:w="43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revisit when Layer 3 lands; switching costs a re-tune of X, not a redesign</w:t>
            </w:r>
          </w:p>
        </w:tc>
      </w:tr>
      <w:tr>
        <w:tc>
          <w:tcPr>
            <w:tcW w:type="dxa" w:w="25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change limit X</w:t>
            </w:r>
          </w:p>
        </w:tc>
        <w:tc>
          <w:tcPr>
            <w:tcW w:type="dxa" w:w="32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2.5pp</w:t>
            </w:r>
          </w:p>
        </w:tc>
        <w:tc>
          <w:tcPr>
            <w:tcW w:type="dxa" w:w="43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last good marginal step; 3pp is the first bad one</w:t>
            </w:r>
          </w:p>
        </w:tc>
      </w:tr>
      <w:t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Drawdown ceiling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39.12%</w:t>
            </w:r>
          </w:p>
        </w:tc>
        <w:tc>
          <w:tcPr>
            <w:tcW w:type="dxa" w:w="43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median of four baselines’ max drawdowns + 5pp</w:t>
            </w:r>
          </w:p>
        </w:tc>
      </w:tr>
      <w:tr>
        <w:tc>
          <w:tcPr>
            <w:tcW w:type="dxa" w:w="25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§11 defect #2</w:t>
            </w:r>
          </w:p>
        </w:tc>
        <w:tc>
          <w:tcPr>
            <w:tcW w:type="dxa" w:w="32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fix in production</w:t>
            </w:r>
          </w:p>
        </w:tc>
        <w:tc>
          <w:tcPr>
            <w:tcW w:type="dxa" w:w="43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limit-dependent, tied at the historical baseline</w:t>
            </w:r>
          </w:p>
        </w:tc>
      </w:tr>
      <w:t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Cap restoration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mechanism change; wording corrected</w:t>
            </w:r>
          </w:p>
        </w:tc>
        <w:tc>
          <w:tcPr>
            <w:tcW w:type="dxa" w:w="43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caps bind purchases, not realized weight</w:t>
            </w:r>
          </w:p>
        </w:tc>
      </w:tr>
      <w:tr>
        <w:tc>
          <w:tcPr>
            <w:tcW w:type="dxa" w:w="25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Cash reserve</w:t>
            </w:r>
          </w:p>
        </w:tc>
        <w:tc>
          <w:tcPr>
            <w:tcW w:type="dxa" w:w="32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retired — not a knob</w:t>
            </w:r>
          </w:p>
        </w:tc>
        <w:tc>
          <w:tcPr>
            <w:tcW w:type="dxa" w:w="43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cash is a residual</w:t>
            </w:r>
          </w:p>
        </w:tc>
      </w:tr>
    </w:tbl>
    <w:p>
      <w:pPr>
        <w:spacing w:after="120" w:before="1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Measured performance of the settled cell</w:t>
      </w:r>
      <w:r>
        <w:rPr>
          <w:rFonts w:ascii="Calibri" w:cs="Calibri" w:eastAsia="Calibri" w:hAnsi="Calibri"/>
          <w:sz w:val="21"/>
          <w:szCs w:val="21"/>
        </w:rPr>
        <w:t xml:space="preserve"> (phase-averaged median across 15 draws):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$184,819</w:t>
      </w:r>
      <w:r>
        <w:rPr>
          <w:rFonts w:ascii="Calibri" w:cs="Calibri" w:eastAsia="Calibri" w:hAnsi="Calibri"/>
          <w:sz w:val="21"/>
          <w:szCs w:val="21"/>
        </w:rPr>
        <w:t xml:space="preserve"> final value from $100,000,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17.32%</w:t>
      </w:r>
      <w:r>
        <w:rPr>
          <w:rFonts w:ascii="Calibri" w:cs="Calibri" w:eastAsia="Calibri" w:hAnsi="Calibri"/>
          <w:sz w:val="21"/>
          <w:szCs w:val="21"/>
        </w:rPr>
        <w:t xml:space="preserve"> median drawdown.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Benchmarks below are pre-tax buy-and-hold while the strategy figure is after tax, so the comparison is conservative.</w:t>
      </w:r>
    </w:p>
    <w:tbl>
      <w:tblPr>
        <w:tblW w:type="dxa" w:w="10080"/>
        <w:tblBorders>
          <w:top w:val="single" w:color="C7D0D9" w:sz="2"/>
          <w:left w:val="single" w:color="C7D0D9" w:sz="2"/>
          <w:bottom w:val="single" w:color="C7D0D9" w:sz="2"/>
          <w:right w:val="single" w:color="C7D0D9" w:sz="2"/>
          <w:insideH w:val="single" w:color="DCE3EA" w:sz="1"/>
          <w:insideV w:val="single" w:color="DCE3EA" w:sz="1"/>
        </w:tblBorders>
      </w:tblPr>
      <w:tblGrid>
        <w:gridCol w:w="4080"/>
        <w:gridCol w:w="3000"/>
        <w:gridCol w:w="3000"/>
      </w:tblGrid>
      <w:tr>
        <w:trPr>
          <w:tblHeader/>
        </w:trPr>
        <w:tc>
          <w:tcPr>
            <w:tcW w:type="dxa" w:w="408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Final</w:t>
            </w:r>
          </w:p>
        </w:tc>
        <w:tc>
          <w:tcPr>
            <w:tcW w:type="dxa" w:w="30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Max drawdown</w:t>
            </w:r>
          </w:p>
        </w:tc>
      </w:tr>
      <w:tr>
        <w:tc>
          <w:tcPr>
            <w:tcW w:type="dxa" w:w="40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Settled cell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$184,819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17.32%</w:t>
            </w:r>
          </w:p>
        </w:tc>
      </w:tr>
      <w:tr>
        <w:tc>
          <w:tcPr>
            <w:tcW w:type="dxa" w:w="40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SPY</w:t>
            </w:r>
          </w:p>
        </w:tc>
        <w:tc>
          <w:tcPr>
            <w:tcW w:type="dxa" w:w="30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$113,980</w:t>
            </w:r>
          </w:p>
        </w:tc>
        <w:tc>
          <w:tcPr>
            <w:tcW w:type="dxa" w:w="30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25.36%</w:t>
            </w:r>
          </w:p>
        </w:tc>
      </w:tr>
      <w:tr>
        <w:tc>
          <w:tcPr>
            <w:tcW w:type="dxa" w:w="40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QQQ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$119,178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35.25%</w:t>
            </w:r>
          </w:p>
        </w:tc>
      </w:tr>
      <w:tr>
        <w:tc>
          <w:tcPr>
            <w:tcW w:type="dxa" w:w="40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TMFC</w:t>
            </w:r>
          </w:p>
        </w:tc>
        <w:tc>
          <w:tcPr>
            <w:tcW w:type="dxa" w:w="30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$120,512</w:t>
            </w:r>
          </w:p>
        </w:tc>
        <w:tc>
          <w:tcPr>
            <w:tcW w:type="dxa" w:w="30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32.99%</w:t>
            </w:r>
          </w:p>
        </w:tc>
      </w:tr>
      <w:tr>
        <w:tc>
          <w:tcPr>
            <w:tcW w:type="dxa" w:w="40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Equal-weight of universe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$120,427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42.76%</w:t>
            </w:r>
          </w:p>
        </w:tc>
      </w:tr>
    </w:tbl>
    <w:p>
      <w:pPr>
        <w:spacing w:after="120" w:before="160" w:line="276"/>
      </w:pPr>
      <w:r>
        <w:rPr>
          <w:rFonts w:ascii="Calibri" w:cs="Calibri" w:eastAsia="Calibri" w:hAnsi="Calibri"/>
          <w:sz w:val="21"/>
          <w:szCs w:val="21"/>
        </w:rPr>
        <w:t xml:space="preserve">Beats all four on return by 53–62%, with a lower drawdown than any of them.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Why K = 30 rather than 90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K=90 measures slightly better on both axes ($185,509 at 15.10%). It was rejected on operational robustness, which the backtest does not model and §10 rule 3 explicitly permits as a structural argument: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A missed session at K=90 costs 25% of the year’s discipline; at K=30 it costs 8%.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K=90’s phase spread is 7.26% against K=30’s 5.39% — the measured fragility to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which day you start on</w:t>
      </w:r>
      <w:r>
        <w:rPr>
          <w:rFonts w:ascii="Calibri" w:cs="Calibri" w:eastAsia="Calibri" w:hAnsi="Calibri"/>
          <w:sz w:val="21"/>
          <w:szCs w:val="21"/>
        </w:rPr>
        <w:t xml:space="preserve"> is the same sensitivity, reached independently.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§2’s table: a K=90 session carries ~17.3 calls (up to 23 in one sitting) against ~5.9 at K=30. The rare session is also the heavy one, and heavy sessions get postponed.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Why X = 2.5pp rather than 3pp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3pp is the grid’s peak at every K under </w:t>
      </w:r>
      <w:r>
        <w:rPr>
          <w:rFonts w:ascii="Consolas" w:cs="Consolas" w:eastAsia="Consolas" w:hAnsi="Consolas"/>
          <w:sz w:val="19"/>
          <w:szCs w:val="19"/>
        </w:rPr>
        <w:t xml:space="preserve">new_calls_only</w:t>
      </w:r>
      <w:r>
        <w:rPr>
          <w:rFonts w:ascii="Calibri" w:cs="Calibri" w:eastAsia="Calibri" w:hAnsi="Calibri"/>
          <w:sz w:val="21"/>
          <w:szCs w:val="21"/>
        </w:rPr>
        <w:t xml:space="preserve">. 2.5pp was chosen on marginal value: each step up to 2.5pp buys return at $3,300–$4,800 per point of drawdown; the step from 2.5 to 3.0 buys it at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$1,413</w:t>
      </w:r>
      <w:r>
        <w:rPr>
          <w:rFonts w:ascii="Calibri" w:cs="Calibri" w:eastAsia="Calibri" w:hAnsi="Calibri"/>
          <w:sz w:val="21"/>
          <w:szCs w:val="21"/>
        </w:rPr>
        <w:t xml:space="preserve"> — the first clearly bad increment.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3. What the last two runs established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The session model is now proven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Gate 1a reproduces the validated harness bit-exact — $189,781.58036163618, seventeen significant figures, diff 0.0. Everything downstream rests on a harness demonstrated equal to the one behind the settled numbers.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The cadence axis is bracketed at both ends</w:t>
      </w:r>
    </w:p>
    <w:tbl>
      <w:tblPr>
        <w:tblW w:type="dxa" w:w="10080"/>
        <w:tblBorders>
          <w:top w:val="single" w:color="C7D0D9" w:sz="2"/>
          <w:left w:val="single" w:color="C7D0D9" w:sz="2"/>
          <w:bottom w:val="single" w:color="C7D0D9" w:sz="2"/>
          <w:right w:val="single" w:color="C7D0D9" w:sz="2"/>
          <w:insideH w:val="single" w:color="DCE3EA" w:sz="1"/>
          <w:insideV w:val="single" w:color="DCE3EA" w:sz="1"/>
        </w:tblBorders>
      </w:tblPr>
      <w:tblGrid>
        <w:gridCol w:w="1800"/>
        <w:gridCol w:w="2760"/>
        <w:gridCol w:w="2760"/>
        <w:gridCol w:w="2760"/>
      </w:tblGrid>
      <w:tr>
        <w:trPr>
          <w:tblHeader/>
        </w:trPr>
        <w:tc>
          <w:tcPr>
            <w:tcW w:type="dxa" w:w="18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</w:t>
            </w:r>
          </w:p>
        </w:tc>
        <w:tc>
          <w:tcPr>
            <w:tcW w:type="dxa" w:w="276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Final</w:t>
            </w:r>
          </w:p>
        </w:tc>
        <w:tc>
          <w:tcPr>
            <w:tcW w:type="dxa" w:w="276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Drawdown</w:t>
            </w:r>
          </w:p>
        </w:tc>
        <w:tc>
          <w:tcPr>
            <w:tcW w:type="dxa" w:w="276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Staleness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$200,115</w:t>
            </w:r>
          </w:p>
        </w:tc>
        <w:tc>
          <w:tcPr>
            <w:tcW w:type="dxa" w:w="2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26.63%</w:t>
            </w:r>
          </w:p>
        </w:tc>
        <w:tc>
          <w:tcPr>
            <w:tcW w:type="dxa" w:w="2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~0.5 d</w:t>
            </w:r>
          </w:p>
        </w:tc>
      </w:tr>
      <w:tr>
        <w:tc>
          <w:tcPr>
            <w:tcW w:type="dxa" w:w="18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76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$194,942</w:t>
            </w:r>
          </w:p>
        </w:tc>
        <w:tc>
          <w:tcPr>
            <w:tcW w:type="dxa" w:w="276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26.79%</w:t>
            </w:r>
          </w:p>
        </w:tc>
        <w:tc>
          <w:tcPr>
            <w:tcW w:type="dxa" w:w="276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~1.5 d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2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$189,538</w:t>
            </w:r>
          </w:p>
        </w:tc>
        <w:tc>
          <w:tcPr>
            <w:tcW w:type="dxa" w:w="2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25.29%</w:t>
            </w:r>
          </w:p>
        </w:tc>
        <w:tc>
          <w:tcPr>
            <w:tcW w:type="dxa" w:w="2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3.3 d</w:t>
            </w:r>
          </w:p>
        </w:tc>
      </w:tr>
      <w:tr>
        <w:tc>
          <w:tcPr>
            <w:tcW w:type="dxa" w:w="18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</w:t>
            </w:r>
          </w:p>
        </w:tc>
        <w:tc>
          <w:tcPr>
            <w:tcW w:type="dxa" w:w="276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$189,425</w:t>
            </w:r>
          </w:p>
        </w:tc>
        <w:tc>
          <w:tcPr>
            <w:tcW w:type="dxa" w:w="276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20.58%</w:t>
            </w:r>
          </w:p>
        </w:tc>
        <w:tc>
          <w:tcPr>
            <w:tcW w:type="dxa" w:w="276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14.1 d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90</w:t>
            </w:r>
          </w:p>
        </w:tc>
        <w:tc>
          <w:tcPr>
            <w:tcW w:type="dxa" w:w="2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$185,509</w:t>
            </w:r>
          </w:p>
        </w:tc>
        <w:tc>
          <w:tcPr>
            <w:tcW w:type="dxa" w:w="2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15.10%</w:t>
            </w:r>
          </w:p>
        </w:tc>
        <w:tc>
          <w:tcPr>
            <w:tcW w:type="dxa" w:w="2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42.7 d</w:t>
            </w:r>
          </w:p>
        </w:tc>
      </w:tr>
    </w:tbl>
    <w:p>
      <w:pPr>
        <w:spacing w:after="120" w:before="1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Return rises monotonically as cadence quickens; drawdown rises with it.</w:t>
      </w:r>
      <w:r>
        <w:rPr>
          <w:rFonts w:ascii="Calibri" w:cs="Calibri" w:eastAsia="Calibri" w:hAnsi="Calibri"/>
          <w:sz w:val="21"/>
          <w:szCs w:val="21"/>
        </w:rPr>
        <w:t xml:space="preserve"> The whole axis is one trade: roughly 5pp of drawdown per 3–6% of return. (All figures </w:t>
      </w:r>
      <w:r>
        <w:rPr>
          <w:rFonts w:ascii="Consolas" w:cs="Consolas" w:eastAsia="Consolas" w:hAnsi="Consolas"/>
          <w:sz w:val="19"/>
          <w:szCs w:val="19"/>
        </w:rPr>
        <w:t xml:space="preserve">new_calls_only</w:t>
      </w:r>
      <w:r>
        <w:rPr>
          <w:rFonts w:ascii="Calibri" w:cs="Calibri" w:eastAsia="Calibri" w:hAnsi="Calibri"/>
          <w:sz w:val="21"/>
          <w:szCs w:val="21"/>
        </w:rPr>
        <w:t xml:space="preserve"> at 3pp, phase-averaged medians.)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The veto — §10’s "product thesis" — is worth nothing measurable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This is the most consequential negative result in the thread.</w:t>
      </w:r>
    </w:p>
    <w:tbl>
      <w:tblPr>
        <w:tblW w:type="dxa" w:w="10080"/>
        <w:tblBorders>
          <w:top w:val="single" w:color="C7D0D9" w:sz="2"/>
          <w:left w:val="single" w:color="C7D0D9" w:sz="2"/>
          <w:bottom w:val="single" w:color="C7D0D9" w:sz="2"/>
          <w:right w:val="single" w:color="C7D0D9" w:sz="2"/>
          <w:insideH w:val="single" w:color="DCE3EA" w:sz="1"/>
          <w:insideV w:val="single" w:color="DCE3EA" w:sz="1"/>
        </w:tblBorders>
      </w:tblPr>
      <w:tblGrid>
        <w:gridCol w:w="1800"/>
        <w:gridCol w:w="5280"/>
        <w:gridCol w:w="3000"/>
      </w:tblGrid>
      <w:tr>
        <w:trPr>
          <w:tblHeader/>
        </w:trPr>
        <w:tc>
          <w:tcPr>
            <w:tcW w:type="dxa" w:w="18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</w:t>
            </w:r>
          </w:p>
        </w:tc>
        <w:tc>
          <w:tcPr>
            <w:tcW w:type="dxa" w:w="528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Gap from removing the veto</w:t>
            </w:r>
          </w:p>
        </w:tc>
        <w:tc>
          <w:tcPr>
            <w:tcW w:type="dxa" w:w="30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Rule 2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2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−$597 .. +$86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tied</w:t>
            </w:r>
          </w:p>
        </w:tc>
      </w:tr>
      <w:tr>
        <w:tc>
          <w:tcPr>
            <w:tcW w:type="dxa" w:w="18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2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−$194 .. +$274</w:t>
            </w:r>
          </w:p>
        </w:tc>
        <w:tc>
          <w:tcPr>
            <w:tcW w:type="dxa" w:w="30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tied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</w:t>
            </w:r>
          </w:p>
        </w:tc>
        <w:tc>
          <w:tcPr>
            <w:tcW w:type="dxa" w:w="52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$0 .. +$1,442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tied</w:t>
            </w:r>
          </w:p>
        </w:tc>
      </w:tr>
      <w:tr>
        <w:tc>
          <w:tcPr>
            <w:tcW w:type="dxa" w:w="18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90</w:t>
            </w:r>
          </w:p>
        </w:tc>
        <w:tc>
          <w:tcPr>
            <w:tcW w:type="dxa" w:w="52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−$4,916 .. $0</w:t>
            </w:r>
          </w:p>
        </w:tc>
        <w:tc>
          <w:tcPr>
            <w:tcW w:type="dxa" w:w="30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tied</w:t>
            </w:r>
          </w:p>
        </w:tc>
      </w:tr>
    </w:tbl>
    <w:p>
      <w:pPr>
        <w:spacing w:after="120" w:before="1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mechanism matters more than the number.</w:t>
      </w:r>
      <w:r>
        <w:rPr>
          <w:rFonts w:ascii="Calibri" w:cs="Calibri" w:eastAsia="Calibri" w:hAnsi="Calibri"/>
          <w:sz w:val="21"/>
          <w:szCs w:val="21"/>
        </w:rPr>
        <w:t xml:space="preserve"> With the pet-formation coin forced to certainty, only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one position in the entire 2.5-year run</w:t>
      </w:r>
      <w:r>
        <w:rPr>
          <w:rFonts w:ascii="Calibri" w:cs="Calibri" w:eastAsia="Calibri" w:hAnsi="Calibri"/>
          <w:sz w:val="21"/>
          <w:szCs w:val="21"/>
        </w:rPr>
        <w:t xml:space="preserve"> ever crosses the 25%-of-portfolio profit-take threshold at the settled configuration (AVGO, peaking at 31.3%). §8’s model has almost nothing to attach to, because the per-session limit already prevents positions from growing large enough to fall in love with. The veto and the limit aim at the same hazard; the limit gets there first.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Re-run at limit </w:t>
      </w:r>
      <w:r>
        <w:rPr>
          <w:rFonts w:ascii="Consolas" w:cs="Consolas" w:eastAsia="Consolas" w:hAnsi="Consolas"/>
          <w:sz w:val="19"/>
          <w:szCs w:val="19"/>
        </w:rPr>
        <w:t xml:space="preserve">off</w:t>
      </w:r>
      <w:r>
        <w:rPr>
          <w:rFonts w:ascii="Calibri" w:cs="Calibri" w:eastAsia="Calibri" w:hAnsi="Calibri"/>
          <w:sz w:val="21"/>
          <w:szCs w:val="21"/>
        </w:rPr>
        <w:t xml:space="preserve">, where positions reach 79% of portfolio, the model bites — and the result is worse than null, it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bidirectional</w:t>
      </w:r>
      <w:r>
        <w:rPr>
          <w:rFonts w:ascii="Calibri" w:cs="Calibri" w:eastAsia="Calibri" w:hAnsi="Calibri"/>
          <w:sz w:val="21"/>
          <w:szCs w:val="21"/>
        </w:rPr>
        <w:t xml:space="preserve">: the best draws under a 30% veto rate reach $311,697 and $338,070, roughly 1.7–1.9× the disciplined baseline. In a window ending in a mega-cap melt-up, refusing to trim a winner was sometimes the best decision available.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Two readings, and this thread does not choose between them: either the limit has already enforced the discipline, or the corpus cannot see it — sixteen frozen mega-cap-heavy names over a rising window is close to the worst possible sample for pricing a refusal to sell. ENPH and TTD are in the universe precisely to carry this shape and neither produced a capitulation at a viable cell.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What autonomy is actually worth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cadence, not the discipline.</w:t>
      </w:r>
      <w:r>
        <w:rPr>
          <w:rFonts w:ascii="Calibri" w:cs="Calibri" w:eastAsia="Calibri" w:hAnsi="Calibri"/>
          <w:sz w:val="21"/>
          <w:szCs w:val="21"/>
        </w:rPr>
        <w:t xml:space="preserve"> Driving K to 1 is worth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+3.41%</w:t>
      </w:r>
      <w:r>
        <w:rPr>
          <w:rFonts w:ascii="Calibri" w:cs="Calibri" w:eastAsia="Calibri" w:hAnsi="Calibri"/>
          <w:sz w:val="21"/>
          <w:szCs w:val="21"/>
        </w:rPr>
        <w:t xml:space="preserve"> at the settled cell (+$6,296, ranges non-overlapping, separable) for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+5.4pp</w:t>
      </w:r>
      <w:r>
        <w:rPr>
          <w:rFonts w:ascii="Calibri" w:cs="Calibri" w:eastAsia="Calibri" w:hAnsi="Calibri"/>
          <w:sz w:val="21"/>
          <w:szCs w:val="21"/>
        </w:rPr>
        <w:t xml:space="preserve"> of drawdown. Removing the veto is worth nothing measurable.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Before treating +3.41% as the prize: K=1 is this simulator’s floor, not "continuous"; and the backtest models no slippage, no partial fills, no rejections. A daily agent trades roughly 30× as often as K=30 for that gross edge. Every K=1 figure is an upper bound.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Two hypotheses resolved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Deployment rate</w:t>
      </w:r>
      <w:r>
        <w:rPr>
          <w:rFonts w:ascii="Calibri" w:cs="Calibri" w:eastAsia="Calibri" w:hAnsi="Calibri"/>
          <w:sz w:val="21"/>
          <w:szCs w:val="21"/>
        </w:rPr>
        <w:t xml:space="preserve"> — supported in direction: optimal X under </w:t>
      </w:r>
      <w:r>
        <w:rPr>
          <w:rFonts w:ascii="Consolas" w:cs="Consolas" w:eastAsia="Consolas" w:hAnsi="Consolas"/>
          <w:sz w:val="19"/>
          <w:szCs w:val="19"/>
        </w:rPr>
        <w:t xml:space="preserve">cash_deployment</w:t>
      </w:r>
      <w:r>
        <w:rPr>
          <w:rFonts w:ascii="Calibri" w:cs="Calibri" w:eastAsia="Calibri" w:hAnsi="Calibri"/>
          <w:sz w:val="21"/>
          <w:szCs w:val="21"/>
        </w:rPr>
        <w:t xml:space="preserve"> falls 1.5 → 0.5 → 0.25 → ≤0.1pp as K goes 30 → 7 → 3 → 1, while </w:t>
      </w:r>
      <w:r>
        <w:rPr>
          <w:rFonts w:ascii="Consolas" w:cs="Consolas" w:eastAsia="Consolas" w:hAnsi="Consolas"/>
          <w:sz w:val="19"/>
          <w:szCs w:val="19"/>
        </w:rPr>
        <w:t xml:space="preserve">new_calls_only</w:t>
      </w:r>
      <w:r>
        <w:rPr>
          <w:rFonts w:ascii="Calibri" w:cs="Calibri" w:eastAsia="Calibri" w:hAnsi="Calibri"/>
          <w:sz w:val="21"/>
          <w:szCs w:val="21"/>
        </w:rPr>
        <w:t xml:space="preserve"> holds at 3pp everywhere. Not supported in magnitude: X* × sessions/yr drifts 18.3 → 36.5 rather than holding constant.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Call proximity — refuted.</w:t>
      </w:r>
      <w:r>
        <w:rPr>
          <w:rFonts w:ascii="Calibri" w:cs="Calibri" w:eastAsia="Calibri" w:hAnsi="Calibri"/>
          <w:sz w:val="21"/>
          <w:szCs w:val="21"/>
        </w:rPr>
        <w:t xml:space="preserve"> Adds placed 31–90 days from a call returned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+102.7%</w:t>
      </w:r>
      <w:r>
        <w:rPr>
          <w:rFonts w:ascii="Calibri" w:cs="Calibri" w:eastAsia="Calibri" w:hAnsi="Calibri"/>
          <w:sz w:val="21"/>
          <w:szCs w:val="21"/>
        </w:rPr>
        <w:t xml:space="preserve"> to hold-to-end against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+51.4%</w:t>
      </w:r>
      <w:r>
        <w:rPr>
          <w:rFonts w:ascii="Calibri" w:cs="Calibri" w:eastAsia="Calibri" w:hAnsi="Calibri"/>
          <w:sz w:val="21"/>
          <w:szCs w:val="21"/>
        </w:rPr>
        <w:t xml:space="preserve"> for Adds within 3 days. Cash deployed far from a call is not wasted.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4. Corrections to the record</w:t>
      </w:r>
    </w:p>
    <w:tbl>
      <w:tblPr>
        <w:tblW w:type="dxa" w:w="10080"/>
        <w:tblBorders>
          <w:top w:val="single" w:color="C7D0D9" w:sz="2"/>
          <w:left w:val="single" w:color="C7D0D9" w:sz="2"/>
          <w:bottom w:val="single" w:color="C7D0D9" w:sz="2"/>
          <w:right w:val="single" w:color="C7D0D9" w:sz="2"/>
          <w:insideH w:val="single" w:color="DCE3EA" w:sz="1"/>
          <w:insideV w:val="single" w:color="DCE3EA" w:sz="1"/>
        </w:tblBorders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Claim</w:t>
            </w:r>
          </w:p>
        </w:tc>
        <w:tc>
          <w:tcPr>
            <w:tcW w:type="dxa" w:w="648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Pooling worth +34.4% at off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Withdrawn. Re-derived against an exact baseline with cadence pinned: −0.029%, tied at every limit.</w:t>
            </w:r>
          </w:p>
        </w:tc>
      </w:tr>
      <w:tr>
        <w:tc>
          <w:tcPr>
            <w:tcW w:type="dxa" w:w="36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"Cadence buys almost nothing on return"</w:t>
            </w:r>
          </w:p>
        </w:tc>
        <w:tc>
          <w:tcPr>
            <w:tcW w:type="dxa" w:w="64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True within K ∈ [7, 90], false below. K=1 is +5.64% over K=30. The published figures were right; the inference drawn from them was not.</w:t>
            </w:r>
          </w:p>
        </w:tc>
      </w:tr>
      <w:t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Gate target $190,481.16304357877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median across 15 draws quoted as a forward draw. The forward draw is $189,781.58036163618, in the same manifest.</w:t>
            </w:r>
          </w:p>
        </w:tc>
      </w:tr>
      <w:tr>
        <w:tc>
          <w:tcPr>
            <w:tcW w:type="dxa" w:w="36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Session-model outputs before commit a7df857</w:t>
            </w:r>
          </w:p>
        </w:tc>
        <w:tc>
          <w:tcPr>
            <w:tcW w:type="dxa" w:w="64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Computed tax-free — year-end tax ran outside the session loop. Affects only the two failed cadence attempts, which selected nothing. All settled numbers came from the per-event harness, which always taxed.</w:t>
            </w:r>
          </w:p>
        </w:tc>
      </w:tr>
      <w:t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Displacement gains −$32,679 / −$24,950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Ticker-filtered, not sale-attributed. Corrected figure: −$19,924.</w:t>
            </w:r>
          </w:p>
        </w:tc>
      </w:tr>
      <w:tr>
        <w:tc>
          <w:tcPr>
            <w:tcW w:type="dxa" w:w="36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38.0% drawdown ceiling</w:t>
            </w:r>
          </w:p>
        </w:tc>
        <w:tc>
          <w:tcPr>
            <w:tcW w:type="dxa" w:w="64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three-benchmark artifact. Correct figure 39.12%.</w:t>
            </w:r>
          </w:p>
        </w:tc>
      </w:tr>
    </w:tbl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5. What remains open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minPositionPct — measured at one region: 1.0% cuts displacements 44% and collapses the stub tail (15 tickers → 10) with drawdown flat. The +2.07% return is a Rule 2 tie. Defensible as housekeeping; value not chosen.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Scope revisit when Layer 3 lands — new_calls_only is "in this version." Cash-deployment is what makes a newly surfaced candidate fundable before its next earnings call.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Re-tune X if K changes. The best limit is cadence-dependent.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Speculative drift backstop — the 15%-cap → 25%-profit-take band leaves 10pp unpoliced. Never approached in this corpus. Would be a new rule.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Rule 3b’s plateau test — non-overlap returns singletons out of precision once draw spreads collapse below 1%. Needs replacing before the next sweep.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§8’s capitulation model — near-inert under the settled limit. Whether to amend it is a design question this thread deliberately did not answer.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Speculative ceiling level — still pending the exposure diagnostic.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Option B — re-evaluating ALL16’s 312 transcripts (~$25–35) to escape a 148-event corpus. Still the only route past this window’s limits.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6. Next step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Nothing in the allocator needs another sweep.</w:t>
      </w:r>
      <w:r>
        <w:rPr>
          <w:rFonts w:ascii="Calibri" w:cs="Calibri" w:eastAsia="Calibri" w:hAnsi="Calibri"/>
          <w:sz w:val="21"/>
          <w:szCs w:val="21"/>
        </w:rPr>
        <w:t xml:space="preserve"> The design is settled and the open items above are parameters, not questions blocking a build.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The build sequence resumes at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Step 8(a): in-app trading</w:t>
      </w:r>
      <w:r>
        <w:rPr>
          <w:rFonts w:ascii="Calibri" w:cs="Calibri" w:eastAsia="Calibri" w:hAnsi="Calibri"/>
          <w:sz w:val="21"/>
          <w:szCs w:val="21"/>
        </w:rPr>
        <w:t xml:space="preserve"> — Accept places the real order via the Schwab API and re-verifies the account’s resulting balance before the next dependent trade. CLAUDE.md calls for recon-first design there, with explicit confirm, partial-fill and rejection handling, idempotency, and a paper pass before real money. The autonomy findings sharpen the case: the measured edge from faster cadence is 3–6% gross,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none of the slippage, partial-fill or turnover costs that would eat it are modelled anywhere yet.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If a measurement session comes first,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Option B</w:t>
      </w:r>
      <w:r>
        <w:rPr>
          <w:rFonts w:ascii="Calibri" w:cs="Calibri" w:eastAsia="Calibri" w:hAnsi="Calibri"/>
          <w:sz w:val="21"/>
          <w:szCs w:val="21"/>
        </w:rPr>
        <w:t xml:space="preserve"> is the highest-value one — every finding in this document is bounded by a 148-event window.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7. Backups — and the Dropbox question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repository is well protected.</w:t>
      </w:r>
      <w:r>
        <w:rPr>
          <w:rFonts w:ascii="Calibri" w:cs="Calibri" w:eastAsia="Calibri" w:hAnsi="Calibri"/>
          <w:sz w:val="21"/>
          <w:szCs w:val="21"/>
        </w:rPr>
        <w:t xml:space="preserve"> It lives inside Dropbox at </w:t>
      </w:r>
      <w:r>
        <w:rPr>
          <w:rFonts w:ascii="Consolas" w:cs="Consolas" w:eastAsia="Consolas" w:hAnsi="Consolas"/>
          <w:sz w:val="19"/>
          <w:szCs w:val="19"/>
        </w:rPr>
        <w:t xml:space="preserve">~/Library/CloudStorage/Dropbox/My Mac (MacBook-Pro.attlocal.net)/Desktop/investment-agent</w:t>
      </w:r>
      <w:r>
        <w:rPr>
          <w:rFonts w:ascii="Calibri" w:cs="Calibri" w:eastAsia="Calibri" w:hAnsi="Calibri"/>
          <w:sz w:val="21"/>
          <w:szCs w:val="21"/>
        </w:rPr>
        <w:t xml:space="preserve"> and is also pushed to GitHub. Local, synced, and versioned off-machine. The tier caches are inside the repo, so </w:t>
      </w:r>
      <w:r>
        <w:rPr>
          <w:rFonts w:ascii="Consolas" w:cs="Consolas" w:eastAsia="Consolas" w:hAnsi="Consolas"/>
          <w:sz w:val="19"/>
          <w:szCs w:val="19"/>
        </w:rPr>
        <w:t xml:space="preserve">price_cache.json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fundamentals_cache.json</w:t>
      </w:r>
      <w:r>
        <w:rPr>
          <w:rFonts w:ascii="Calibri" w:cs="Calibri" w:eastAsia="Calibri" w:hAnsi="Calibri"/>
          <w:sz w:val="21"/>
          <w:szCs w:val="21"/>
        </w:rPr>
        <w:t xml:space="preserve"> are covered too.</w:t>
      </w:r>
    </w:p>
    <w:p>
      <w:pPr>
        <w:spacing w:after="8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corpus dump is not.</w:t>
      </w:r>
      <w:r>
        <w:rPr>
          <w:rFonts w:ascii="Calibri" w:cs="Calibri" w:eastAsia="Calibri" w:hAnsi="Calibri"/>
          <w:sz w:val="21"/>
          <w:szCs w:val="21"/>
        </w:rPr>
        <w:t xml:space="preserve"> It sits at:</w:t>
      </w:r>
    </w:p>
    <w:p>
      <w:pPr>
        <w:shd w:fill="F2F4F6" w:val="clear"/>
        <w:spacing w:after="160" w:before="8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/Users/luismorales/investment-agent-backups/analysis_corpus_20260830.sql   (41 MB)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— in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home directory, outside the Dropbox tree</w:t>
      </w:r>
      <w:r>
        <w:rPr>
          <w:rFonts w:ascii="Calibri" w:cs="Calibri" w:eastAsia="Calibri" w:hAnsi="Calibri"/>
          <w:sz w:val="21"/>
          <w:szCs w:val="21"/>
        </w:rPr>
        <w:t xml:space="preserve">. Confirmed from the path recorded in every manifest’s </w:t>
      </w:r>
      <w:r>
        <w:rPr>
          <w:rFonts w:ascii="Consolas" w:cs="Consolas" w:eastAsia="Consolas" w:hAnsi="Consolas"/>
          <w:sz w:val="19"/>
          <w:szCs w:val="19"/>
        </w:rPr>
        <w:t xml:space="preserve">corpus.db_snapshot</w:t>
      </w:r>
      <w:r>
        <w:rPr>
          <w:rFonts w:ascii="Calibri" w:cs="Calibri" w:eastAsia="Calibri" w:hAnsi="Calibri"/>
          <w:sz w:val="21"/>
          <w:szCs w:val="21"/>
        </w:rPr>
        <w:t xml:space="preserve">. So it exists on one machine only.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It is the single irreplaceable artifact in this project: the model that produced those evaluations is retired, so it cannot be regenerated at any price. If it is lost, $141,837 joins $287k as a number nobody can reproduce.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 into git.</w:t>
      </w:r>
      <w:r>
        <w:rPr>
          <w:rFonts w:ascii="Calibri" w:cs="Calibri" w:eastAsia="Calibri" w:hAnsi="Calibri"/>
          <w:sz w:val="21"/>
          <w:szCs w:val="21"/>
        </w:rPr>
        <w:t xml:space="preserve"> A 41 MB blob that changes wholesale cannot be delta-compressed, so every snapshot would add ~41 MB to the repository permanently; GitHub warns above 50 MB. §10b also keeps the corpus outside the repo by design. The dump holds no account or position data (Analysis / Transcript / Ticker only), but Transcript.rawText is third-party earnings-call text, so confirm the repo’s visibility before it goes near GitHub.</w:t>
      </w:r>
    </w:p>
    <w:p>
      <w:pPr>
        <w:spacing w:after="8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 this:</w:t>
      </w:r>
    </w:p>
    <w:p>
      <w:pPr>
        <w:shd w:fill="F2F4F6" w:val="clear"/>
        <w:spacing w:after="0" w:before="8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gzip -k ~/investment-agent-backups/analysis_corpus_20260830.sql</w:t>
      </w:r>
    </w:p>
    <w:p>
      <w:pPr>
        <w:shd w:fill="F2F4F6" w:val="clear"/>
        <w:spacing w:after="160" w:before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shasum -a 256 ~/investment-agent-backups/analysis_corpus_20260830.sql.gz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Then put the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rPr>
          <w:rFonts w:ascii="Calibri" w:cs="Calibri" w:eastAsia="Calibri" w:hAnsi="Calibri"/>
          <w:sz w:val="21"/>
          <w:szCs w:val="21"/>
        </w:rPr>
        <w:t xml:space="preserve"> (roughly 4–5 MB) somewhere synced — inside the Dropbox tree is enough — and ideally also attach it to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GitHub Release</w:t>
      </w:r>
      <w:r>
        <w:rPr>
          <w:rFonts w:ascii="Calibri" w:cs="Calibri" w:eastAsia="Calibri" w:hAnsi="Calibri"/>
          <w:sz w:val="21"/>
          <w:szCs w:val="21"/>
        </w:rPr>
        <w:t xml:space="preserve"> tagged to its commit, since release assets live outside git history.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Record the checksum:</w:t>
      </w:r>
      <w:r>
        <w:rPr>
          <w:rFonts w:ascii="Calibri" w:cs="Calibri" w:eastAsia="Calibri" w:hAnsi="Calibri"/>
          <w:sz w:val="21"/>
          <w:szCs w:val="21"/>
        </w:rPr>
        <w:t xml:space="preserve"> every manifest references </w:t>
      </w:r>
      <w:r>
        <w:rPr>
          <w:rFonts w:ascii="Consolas" w:cs="Consolas" w:eastAsia="Consolas" w:hAnsi="Consolas"/>
          <w:sz w:val="19"/>
          <w:szCs w:val="19"/>
        </w:rPr>
        <w:t xml:space="preserve">corpus.db_snapshot_sha256</w:t>
      </w:r>
      <w:r>
        <w:rPr>
          <w:rFonts w:ascii="Calibri" w:cs="Calibri" w:eastAsia="Calibri" w:hAnsi="Calibri"/>
          <w:sz w:val="21"/>
          <w:szCs w:val="21"/>
        </w:rPr>
        <w:t xml:space="preserve"> and currently points at a file only one machine has.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One caveat on Dropbox generally: it protects against losing the laptop, not against a bad write propagating. A </w:t>
      </w:r>
      <w:r>
        <w:rPr>
          <w:rFonts w:ascii="Consolas" w:cs="Consolas" w:eastAsia="Consolas" w:hAnsi="Consolas"/>
          <w:sz w:val="19"/>
          <w:szCs w:val="19"/>
        </w:rPr>
        <w:t xml:space="preserve">fetch_fundamentals.py</w:t>
      </w:r>
      <w:r>
        <w:rPr>
          <w:rFonts w:ascii="Calibri" w:cs="Calibri" w:eastAsia="Calibri" w:hAnsi="Calibri"/>
          <w:sz w:val="21"/>
          <w:szCs w:val="21"/>
        </w:rPr>
        <w:t xml:space="preserve"> run would overwrite the frozen tier caches and Dropbox would faithfully sync the damage. §10b’s dated, checksummed archive of those two files is still not done.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8. Reproducibility state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Branch </w:t>
      </w:r>
      <w:r>
        <w:rPr>
          <w:rFonts w:ascii="Consolas" w:cs="Consolas" w:eastAsia="Consolas" w:hAnsi="Consolas"/>
          <w:sz w:val="19"/>
          <w:szCs w:val="19"/>
        </w:rPr>
        <w:t xml:space="preserve">sweep/db-corpus-baseline</w:t>
      </w:r>
      <w:r>
        <w:rPr>
          <w:rFonts w:ascii="Calibri" w:cs="Calibri" w:eastAsia="Calibri" w:hAnsi="Calibri"/>
          <w:sz w:val="21"/>
          <w:szCs w:val="21"/>
        </w:rPr>
        <w:t xml:space="preserve">, pushed to origin.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Standing assertion holds: </w:t>
      </w:r>
      <w:r>
        <w:rPr>
          <w:rFonts w:ascii="Consolas" w:cs="Consolas" w:eastAsia="Consolas" w:hAnsi="Consolas"/>
          <w:sz w:val="19"/>
          <w:szCs w:val="19"/>
        </w:rPr>
        <w:t xml:space="preserve">no_reserve_raw</w:t>
      </w:r>
      <w:r>
        <w:rPr>
          <w:rFonts w:ascii="Calibri" w:cs="Calibri" w:eastAsia="Calibri" w:hAnsi="Calibri"/>
          <w:sz w:val="21"/>
          <w:szCs w:val="21"/>
        </w:rPr>
        <w:t xml:space="preserve"> control =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$141,836.57</w:t>
      </w:r>
      <w:r>
        <w:rPr>
          <w:rFonts w:ascii="Calibri" w:cs="Calibri" w:eastAsia="Calibri" w:hAnsi="Calibri"/>
          <w:sz w:val="21"/>
          <w:szCs w:val="21"/>
        </w:rPr>
        <w:t xml:space="preserve">, verified after every code change on the measurement path.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Gate 1a bit-exact; all six gates pass in the two most recent runs.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Cross-grid anchors reproduce to rounding.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onsolas" w:cs="Consolas" w:eastAsia="Consolas" w:hAnsi="Consolas"/>
          <w:sz w:val="19"/>
          <w:szCs w:val="19"/>
        </w:rPr>
        <w:t xml:space="preserve">price_cache.json</w:t>
      </w:r>
      <w:r>
        <w:rPr>
          <w:rFonts w:ascii="Calibri" w:cs="Calibri" w:eastAsia="Calibri" w:hAnsi="Calibri"/>
          <w:sz w:val="21"/>
          <w:szCs w:val="21"/>
        </w:rP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fundamentals_cache.json</w:t>
      </w:r>
      <w:r>
        <w:rPr>
          <w:rFonts w:ascii="Calibri" w:cs="Calibri" w:eastAsia="Calibri" w:hAnsi="Calibri"/>
          <w:sz w:val="21"/>
          <w:szCs w:val="21"/>
        </w:rPr>
        <w:t xml:space="preserve"> frozen at 2026-05-11 —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never refresh them to clear the staleness warning.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onsolas" w:cs="Consolas" w:eastAsia="Consolas" w:hAnsi="Consolas"/>
          <w:sz w:val="19"/>
          <w:szCs w:val="19"/>
        </w:rPr>
        <w:t xml:space="preserve">testing/</w:t>
      </w:r>
      <w:r>
        <w:rPr>
          <w:rFonts w:ascii="Calibri" w:cs="Calibri" w:eastAsia="Calibri" w:hAnsi="Calibri"/>
          <w:sz w:val="21"/>
          <w:szCs w:val="21"/>
        </w:rPr>
        <w:t xml:space="preserve"> is gitignored and holds real brokerage position exports.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Run state under </w:t>
      </w:r>
      <w:r>
        <w:rPr>
          <w:rFonts w:ascii="Consolas" w:cs="Consolas" w:eastAsia="Consolas" w:hAnsi="Consolas"/>
          <w:sz w:val="19"/>
          <w:szCs w:val="19"/>
        </w:rPr>
        <w:t xml:space="preserve">analysis/data/run_state/&lt;run_id&gt;/</w:t>
      </w:r>
      <w:r>
        <w:rPr>
          <w:rFonts w:ascii="Calibri" w:cs="Calibri" w:eastAsia="Calibri" w:hAnsi="Calibri"/>
          <w:sz w:val="21"/>
          <w:szCs w:val="21"/>
        </w:rPr>
        <w:t xml:space="preserve"> is committed; a budget-exhausted session resumes rather than restarting.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9. First action on return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Back up the corpus dump — §7. Five minutes, and the only item here whose cost of being skipped is unbounded.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Then Step 8(a), or Option B if you would rather widen the evidence first.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10. Standing lessons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Kept because they cost real sessions to learn: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gate must test correctness, not the prompt author’s expectations.</w:t>
      </w:r>
      <w:r>
        <w:rPr>
          <w:rFonts w:ascii="Calibri" w:cs="Calibri" w:eastAsia="Calibri" w:hAnsi="Calibri"/>
          <w:sz w:val="21"/>
          <w:szCs w:val="21"/>
        </w:rPr>
        <w:t xml:space="preserve"> Five runs stopped on design-session drafting errors.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Every reference figure in a gate must cite its manifest path and JSON key</w:t>
      </w:r>
      <w:r>
        <w:rPr>
          <w:rFonts w:ascii="Calibri" w:cs="Calibri" w:eastAsia="Calibri" w:hAnsi="Calibri"/>
          <w:sz w:val="21"/>
          <w:szCs w:val="21"/>
        </w:rPr>
        <w:t xml:space="preserve">, and every comparison must state whether each number is a forward draw or a median. A bare figure cost two sessions.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onsolas" w:cs="Consolas" w:eastAsia="Consolas" w:hAnsi="Consolas"/>
          <w:sz w:val="19"/>
          <w:szCs w:val="19"/>
        </w:rPr>
        <w:t xml:space="preserve">off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 belongs at the loose end of a limit axis.</w:t>
      </w:r>
      <w:r>
        <w:rPr>
          <w:rFonts w:ascii="Calibri" w:cs="Calibri" w:eastAsia="Calibri" w:hAnsi="Calibri"/>
          <w:sz w:val="21"/>
          <w:szCs w:val="21"/>
        </w:rPr>
        <w:t xml:space="preserve"> Placing it first produced three consecutive false "jagged" verdicts.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Overlapping ranges are tied.</w:t>
      </w:r>
      <w:r>
        <w:rPr>
          <w:rFonts w:ascii="Calibri" w:cs="Calibri" w:eastAsia="Calibri" w:hAnsi="Calibri"/>
          <w:sz w:val="21"/>
          <w:szCs w:val="21"/>
        </w:rPr>
        <w:t xml:space="preserve"> Rule 2 exists because a median difference inside the noise band was twice reported as a result.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number without a manifest is not citable</w:t>
      </w:r>
      <w:r>
        <w:rPr>
          <w:rFonts w:ascii="Calibri" w:cs="Calibri" w:eastAsia="Calibri" w:hAnsi="Calibri"/>
          <w:sz w:val="21"/>
          <w:szCs w:val="21"/>
        </w:rPr>
        <w:t xml:space="preserve"> — and the manifest must name a commit that actually contains the driver.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Write run state before doing any work.</w:t>
      </w:r>
      <w:r>
        <w:rPr>
          <w:rFonts w:ascii="Calibri" w:cs="Calibri" w:eastAsia="Calibri" w:hAnsi="Calibri"/>
          <w:sz w:val="21"/>
          <w:szCs w:val="21"/>
        </w:rPr>
        <w:t xml:space="preserve"> A session that dies during its reading should still leave a checkpoint.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2026-09-01T18:12:38.299Z</dcterms:created>
  <dcterms:modified xsi:type="dcterms:W3CDTF">2026-09-01T18:12:38.312Z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