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B3F8B"/>
          <w:sz w:val="40"/>
          <w:szCs w:val="40"/>
        </w:rPr>
        <w:t xml:space="preserve">Investment Agent — Complete Project Handoff Brief</w:t>
      </w:r>
    </w:p>
    <w:p>
      <w:pPr>
        <w:spacing w:after="400" w:before="0"/>
        <w:jc w:val="center"/>
      </w:pPr>
      <w:r>
        <w:rPr>
          <w:i/>
          <w:iCs/>
          <w:color w:val="666666"/>
          <w:sz w:val="22"/>
          <w:szCs w:val="22"/>
        </w:rPr>
        <w:t xml:space="preserve">For a new Claude instance starting from zero. March 30, 2026.</w:t>
      </w:r>
    </w:p>
    <w:p>
      <w:pPr>
        <w:pBdr>
          <w:bottom w:val="single" w:color="AAAAAA" w:sz="1"/>
        </w:pBdr>
        <w:spacing w:after="200" w:before="200"/>
      </w:pPr>
    </w:p>
    <w:p>
      <w:pPr>
        <w:pStyle w:val="Heading1"/>
        <w:spacing w:after="200" w:before="400"/>
      </w:pPr>
      <w:r>
        <w:t xml:space="preserve">1. Who This Person Is</w:t>
      </w:r>
    </w:p>
    <w:p>
      <w:pPr>
        <w:spacing w:after="100" w:before="100"/>
        <w:jc w:val="left"/>
      </w:pPr>
      <w:r>
        <w:rPr>
          <w:sz w:val="22"/>
          <w:szCs w:val="22"/>
        </w:rPr>
        <w:t xml:space="preserve">Luis is a Puerto Rico-based investor with executive leadership background, including time at Enphase Energy (ENPH). He works at Windmar Energy (commercial solar) by day. His investment philosophy: concentrated, thesis-driven, long-horizon, above-average risk tolerance. He rejects conventional diversification because a sufficiently diversified portfolio approaches index behavior and most indexes do not outperform the S&amp;P 500.</w:t>
      </w:r>
    </w:p>
    <w:p>
      <w:pPr>
        <w:spacing w:after="100" w:before="100"/>
        <w:jc w:val="left"/>
      </w:pPr>
      <w:r>
        <w:rPr>
          <w:sz w:val="22"/>
          <w:szCs w:val="22"/>
        </w:rPr>
        <w:t xml:space="preserve">His circle of competence — sectors where he has genuine edge:</w:t>
      </w:r>
    </w:p>
    <w:p>
      <w:pPr>
        <w:pStyle w:val="ListParagraph"/>
        <w:numPr>
          <w:ilvl w:val="0"/>
          <w:numId w:val="1"/>
        </w:numPr>
        <w:spacing w:after="60" w:before="60"/>
      </w:pPr>
      <w:r>
        <w:rPr>
          <w:sz w:val="22"/>
          <w:szCs w:val="22"/>
        </w:rPr>
        <w:t xml:space="preserve">Renewable energy and energy transition</w:t>
      </w:r>
    </w:p>
    <w:p>
      <w:pPr>
        <w:pStyle w:val="ListParagraph"/>
        <w:numPr>
          <w:ilvl w:val="0"/>
          <w:numId w:val="1"/>
        </w:numPr>
        <w:spacing w:after="60" w:before="60"/>
      </w:pPr>
      <w:r>
        <w:rPr>
          <w:sz w:val="22"/>
          <w:szCs w:val="22"/>
        </w:rPr>
        <w:t xml:space="preserve">Energy storage and battery technology</w:t>
      </w:r>
    </w:p>
    <w:p>
      <w:pPr>
        <w:pStyle w:val="ListParagraph"/>
        <w:numPr>
          <w:ilvl w:val="0"/>
          <w:numId w:val="1"/>
        </w:numPr>
        <w:spacing w:after="60" w:before="60"/>
      </w:pPr>
      <w:r>
        <w:rPr>
          <w:sz w:val="22"/>
          <w:szCs w:val="22"/>
        </w:rPr>
        <w:t xml:space="preserve">Defense technology and drones</w:t>
      </w:r>
    </w:p>
    <w:p>
      <w:pPr>
        <w:pStyle w:val="ListParagraph"/>
        <w:numPr>
          <w:ilvl w:val="0"/>
          <w:numId w:val="1"/>
        </w:numPr>
        <w:spacing w:after="60" w:before="60"/>
      </w:pPr>
      <w:r>
        <w:rPr>
          <w:sz w:val="22"/>
          <w:szCs w:val="22"/>
        </w:rPr>
        <w:t xml:space="preserve">Semiconductors</w:t>
      </w:r>
    </w:p>
    <w:p>
      <w:pPr>
        <w:pStyle w:val="ListParagraph"/>
        <w:numPr>
          <w:ilvl w:val="0"/>
          <w:numId w:val="1"/>
        </w:numPr>
        <w:spacing w:after="60" w:before="60"/>
      </w:pPr>
      <w:r>
        <w:rPr>
          <w:sz w:val="22"/>
          <w:szCs w:val="22"/>
        </w:rPr>
        <w:t xml:space="preserve">Information technology, software, cloud computing</w:t>
      </w:r>
    </w:p>
    <w:p>
      <w:pPr>
        <w:pStyle w:val="ListParagraph"/>
        <w:numPr>
          <w:ilvl w:val="0"/>
          <w:numId w:val="1"/>
        </w:numPr>
        <w:spacing w:after="60" w:before="60"/>
      </w:pPr>
      <w:r>
        <w:rPr>
          <w:sz w:val="22"/>
          <w:szCs w:val="22"/>
        </w:rPr>
        <w:t xml:space="preserve">Cryptocurrencies and digital assets</w:t>
      </w:r>
    </w:p>
    <w:p>
      <w:pPr>
        <w:spacing w:after="100" w:before="100"/>
        <w:jc w:val="left"/>
      </w:pPr>
      <w:r>
        <w:rPr>
          <w:sz w:val="22"/>
          <w:szCs w:val="22"/>
        </w:rPr>
        <w:t xml:space="preserve">Tax situation: Florida resident, federal LTCG only at 20%, no state tax. All positions assumed held longer than one year (LTCG treatment). No life events forcing liquidations.</w:t>
      </w:r>
    </w:p>
    <w:p>
      <w:pPr>
        <w:spacing w:after="100" w:before="100"/>
        <w:jc w:val="left"/>
      </w:pPr>
      <w:r>
        <w:rPr>
          <w:sz w:val="22"/>
          <w:szCs w:val="22"/>
        </w:rPr>
        <w:t xml:space="preserve">"Enough number": approximately $10M. Strategy: reach ~$6M in active portfolio, move to S&amp;P 500 ETF, let it grow to $10M (estimated 5-7 years at historical rates), then shift to 60/40 passive allocation for permanent preservation.</w:t>
      </w:r>
    </w:p>
    <w:p>
      <w:pPr>
        <w:pBdr>
          <w:bottom w:val="single" w:color="AAAAAA" w:sz="1"/>
        </w:pBdr>
        <w:spacing w:after="200" w:before="200"/>
      </w:pPr>
    </w:p>
    <w:p>
      <w:pPr>
        <w:pStyle w:val="Heading1"/>
        <w:spacing w:after="200" w:before="400"/>
      </w:pPr>
      <w:r>
        <w:t xml:space="preserve">2. The ENPH Story — Why Everything Was Built</w:t>
      </w:r>
    </w:p>
    <w:p>
      <w:pPr>
        <w:spacing w:after="100" w:before="100"/>
        <w:jc w:val="left"/>
      </w:pPr>
      <w:r>
        <w:rPr>
          <w:sz w:val="22"/>
          <w:szCs w:val="22"/>
        </w:rPr>
        <w:t xml:space="preserve">Starting portfolio: March 24, 2020. Total value $2,191,066 across 7 accounts (Taxable AL1, Taxable AL2, IRA L, IRA L2, IRA A, Roth IRA L, Roth IRA A). 45 positions. ENPH already at 62.3% of portfolio (39,756 shares at $34.34).</w:t>
      </w:r>
    </w:p>
    <w:p>
      <w:pPr>
        <w:spacing w:after="100" w:before="100"/>
        <w:jc w:val="left"/>
      </w:pPr>
      <w:r>
        <w:rPr>
          <w:sz w:val="22"/>
          <w:szCs w:val="22"/>
        </w:rPr>
        <w:t xml:space="preserve">ENPH ran from $34 in March 2020 to approximately $340 by late 2022 — roughly a 10x move. At peak, the buy-and-hold portfolio was worth approximately $14,061,580 (December 2, 2022), with ENPH representing 95% of that value.</w:t>
      </w:r>
    </w:p>
    <w:p>
      <w:pPr>
        <w:spacing w:after="100" w:before="100"/>
        <w:jc w:val="left"/>
      </w:pPr>
      <w:r>
        <w:rPr>
          <w:sz w:val="22"/>
          <w:szCs w:val="22"/>
        </w:rPr>
        <w:t xml:space="preserve">Then NEM3.0 was announced (California reducing solar-only economics). Management expressed confidence storage would offset the disruption. The stock fell from $340 to approximately $30 by late 2023. Luis exited around Q3 2023.</w:t>
      </w:r>
    </w:p>
    <w:p>
      <w:pPr>
        <w:spacing w:after="100" w:before="100"/>
        <w:jc w:val="left"/>
      </w:pPr>
      <w:r>
        <w:rPr>
          <w:sz w:val="22"/>
          <w:szCs w:val="22"/>
        </w:rPr>
        <w:t xml:space="preserve">The portfolio ended at $2,337,470 on a buy-and-hold basis — a gain of only 6.7% over five years despite a peak paper gain of 542%.</w:t>
      </w:r>
    </w:p>
    <w:p>
      <w:pPr>
        <w:spacing w:after="100" w:before="100"/>
        <w:jc w:val="left"/>
      </w:pPr>
      <w:r>
        <w:rPr>
          <w:sz w:val="22"/>
          <w:szCs w:val="22"/>
        </w:rPr>
        <w:t xml:space="preserve">Current actual portfolio value (as of March 20, 2026): $3,225,223.70. Adjusted for approximately $700K in withdrawals and private investments over the period, the adjusted value is approximately $3.9M.</w:t>
      </w:r>
    </w:p>
    <w:p>
      <w:pPr>
        <w:pStyle w:val="Heading2"/>
        <w:spacing w:after="150" w:before="300"/>
      </w:pPr>
      <w:r>
        <w:t xml:space="preserve">Key Finding from Backtesting</w:t>
      </w:r>
    </w:p>
    <w:p>
      <w:pPr>
        <w:spacing w:after="100" w:before="100"/>
        <w:jc w:val="left"/>
      </w:pPr>
      <w:r>
        <w:rPr>
          <w:sz w:val="22"/>
          <w:szCs w:val="22"/>
        </w:rPr>
        <w:t xml:space="preserve">Five backtest scenarios were run (see backtest Python scripts on file). Key results:</w:t>
      </w:r>
    </w:p>
    <w:p>
      <w:pPr>
        <w:pStyle w:val="ListParagraph"/>
        <w:numPr>
          <w:ilvl w:val="0"/>
          <w:numId w:val="1"/>
        </w:numPr>
        <w:spacing w:after="60" w:before="60"/>
      </w:pPr>
      <w:r>
        <w:rPr>
          <w:sz w:val="22"/>
          <w:szCs w:val="22"/>
        </w:rPr>
        <w:t xml:space="preserve">Buy and Hold: $2,335,034 (+6.6%)</w:t>
      </w:r>
    </w:p>
    <w:p>
      <w:pPr>
        <w:pStyle w:val="ListParagraph"/>
        <w:numPr>
          <w:ilvl w:val="0"/>
          <w:numId w:val="1"/>
        </w:numPr>
        <w:spacing w:after="60" w:before="60"/>
      </w:pPr>
      <w:r>
        <w:rPr>
          <w:sz w:val="22"/>
          <w:szCs w:val="22"/>
        </w:rPr>
        <w:t xml:space="preserve">15% flat cap: $3,520,042 (+60.7%) — tax paid $659,651</w:t>
      </w:r>
    </w:p>
    <w:p>
      <w:pPr>
        <w:pStyle w:val="ListParagraph"/>
        <w:numPr>
          <w:ilvl w:val="0"/>
          <w:numId w:val="1"/>
        </w:numPr>
        <w:spacing w:after="60" w:before="60"/>
      </w:pPr>
      <w:r>
        <w:rPr>
          <w:sz w:val="22"/>
          <w:szCs w:val="22"/>
        </w:rPr>
        <w:t xml:space="preserve">20% flat cap: $3,815,079 (+74.1%) — tax paid $795,578</w:t>
      </w:r>
    </w:p>
    <w:p>
      <w:pPr>
        <w:pStyle w:val="ListParagraph"/>
        <w:numPr>
          <w:ilvl w:val="0"/>
          <w:numId w:val="1"/>
        </w:numPr>
        <w:spacing w:after="60" w:before="60"/>
      </w:pPr>
      <w:r>
        <w:rPr>
          <w:sz w:val="22"/>
          <w:szCs w:val="22"/>
        </w:rPr>
        <w:t xml:space="preserve">25% flat cap: $3,984,881 (+81.9%) — tax paid $866,003</w:t>
      </w:r>
    </w:p>
    <w:p>
      <w:pPr>
        <w:pStyle w:val="ListParagraph"/>
        <w:numPr>
          <w:ilvl w:val="0"/>
          <w:numId w:val="1"/>
        </w:numPr>
        <w:spacing w:after="60" w:before="60"/>
      </w:pPr>
      <w:r>
        <w:rPr>
          <w:sz w:val="22"/>
          <w:szCs w:val="22"/>
        </w:rPr>
        <w:t xml:space="preserve">ENPH variable cap (thesis-driven): $5,397,711 (+146.4%)</w:t>
      </w:r>
    </w:p>
    <w:p>
      <w:pPr>
        <w:pStyle w:val="ListParagraph"/>
        <w:numPr>
          <w:ilvl w:val="0"/>
          <w:numId w:val="1"/>
        </w:numPr>
        <w:spacing w:after="60" w:before="60"/>
      </w:pPr>
      <w:r>
        <w:rPr>
          <w:sz w:val="22"/>
          <w:szCs w:val="22"/>
        </w:rPr>
        <w:t xml:space="preserve">ENPH + NVDA 50/50 split at 40% cap: $11,409,048 (+421%)</w:t>
      </w:r>
    </w:p>
    <w:p>
      <w:pPr>
        <w:pStyle w:val="ListParagraph"/>
        <w:numPr>
          <w:ilvl w:val="0"/>
          <w:numId w:val="1"/>
        </w:numPr>
        <w:spacing w:after="60" w:before="60"/>
      </w:pPr>
      <w:r>
        <w:rPr>
          <w:sz w:val="22"/>
          <w:szCs w:val="22"/>
        </w:rPr>
        <w:t xml:space="preserve">NVDA variable cap: $14,915,091 (+581%)</w:t>
      </w:r>
    </w:p>
    <w:p>
      <w:pPr>
        <w:pStyle w:val="ListParagraph"/>
        <w:numPr>
          <w:ilvl w:val="0"/>
          <w:numId w:val="1"/>
        </w:numPr>
        <w:spacing w:after="60" w:before="60"/>
      </w:pPr>
      <w:r>
        <w:rPr>
          <w:sz w:val="22"/>
          <w:szCs w:val="22"/>
        </w:rPr>
        <w:t xml:space="preserve">SPY benchmark: $6,357,823 (+190.2%)</w:t>
      </w:r>
    </w:p>
    <w:p>
      <w:pPr>
        <w:spacing w:after="100" w:before="100"/>
        <w:jc w:val="left"/>
      </w:pPr>
      <w:r>
        <w:rPr>
          <w:sz w:val="22"/>
          <w:szCs w:val="22"/>
        </w:rPr>
        <w:t xml:space="preserve">ENPH stress test found a natural inflection point at 35% cap — beyond that concentration, results deteriorate. NVDA curve is monotonically increasing (no natural inflection), confirming it is a Type B multi-driver platform company where only a variable cap makes analytical sense.</w:t>
      </w:r>
    </w:p>
    <w:p>
      <w:pPr>
        <w:pBdr>
          <w:bottom w:val="single" w:color="AAAAAA" w:sz="1"/>
        </w:pBdr>
        <w:spacing w:after="200" w:before="200"/>
      </w:pPr>
    </w:p>
    <w:p>
      <w:pPr>
        <w:pStyle w:val="Heading1"/>
        <w:spacing w:after="200" w:before="400"/>
      </w:pPr>
      <w:r>
        <w:t xml:space="preserve">3. Four Blind Spots — Design Foundation</w:t>
      </w:r>
    </w:p>
    <w:p>
      <w:pPr>
        <w:spacing w:after="100" w:before="100"/>
        <w:jc w:val="left"/>
      </w:pPr>
      <w:r>
        <w:rPr>
          <w:sz w:val="22"/>
          <w:szCs w:val="22"/>
        </w:rPr>
        <w:t xml:space="preserve">These were identified through extended conversation and validated by Luis himself. The agent is specifically designed to counteract them.</w:t>
      </w:r>
    </w:p>
    <w:p>
      <w:pPr>
        <w:pStyle w:val="Heading3"/>
        <w:spacing w:after="100" w:before="200"/>
      </w:pPr>
      <w:r>
        <w:t xml:space="preserve">Blind Spot 1: Sector thesis standing in for company thesis</w:t>
      </w:r>
    </w:p>
    <w:p>
      <w:pPr>
        <w:spacing w:after="100" w:before="100"/>
        <w:jc w:val="left"/>
      </w:pPr>
      <w:r>
        <w:rPr>
          <w:sz w:val="22"/>
          <w:szCs w:val="22"/>
        </w:rPr>
        <w:t xml:space="preserve">Deep belief in energy transition causes Luis to extend unearned benefit of the doubt to companies within the sector when company-specific signals are deteriorating. The agent maintains sector and company thesis as completely separate scorecards. "Renewables are inevitable" has zero weight in a decision about whether to hold through guidance misses.</w:t>
      </w:r>
    </w:p>
    <w:p>
      <w:pPr>
        <w:pStyle w:val="Heading3"/>
        <w:spacing w:after="100" w:before="200"/>
      </w:pPr>
      <w:r>
        <w:t xml:space="preserve">Blind Spot 2: Startup forgiveness extended to mature companies</w:t>
      </w:r>
    </w:p>
    <w:p>
      <w:pPr>
        <w:spacing w:after="100" w:before="100"/>
        <w:jc w:val="left"/>
      </w:pPr>
      <w:r>
        <w:rPr>
          <w:sz w:val="22"/>
          <w:szCs w:val="22"/>
        </w:rPr>
        <w:t xml:space="preserve">Experience building startups creates excessive tolerance for operational stumbles in mature companies that have years of data to forecast accurately. The agent distinguishes: discovery stumbles (genuinely new market/product challenges) deserve patience; execution failures (missing on forecastable data) do not. ENPH missing California installer guidance in 2023 was an execution failure, not a discovery stumble.</w:t>
      </w:r>
    </w:p>
    <w:p>
      <w:pPr>
        <w:pStyle w:val="Heading3"/>
        <w:spacing w:after="100" w:before="200"/>
      </w:pPr>
      <w:r>
        <w:t xml:space="preserve">Blind Spot 3: Overconfidence — "I see something the market doesn't"</w:t>
      </w:r>
    </w:p>
    <w:p>
      <w:pPr>
        <w:spacing w:after="100" w:before="100"/>
        <w:jc w:val="left"/>
      </w:pPr>
      <w:r>
        <w:rPr>
          <w:sz w:val="22"/>
          <w:szCs w:val="22"/>
        </w:rPr>
        <w:t xml:space="preserve">Genuine domain expertise in energy creates a specific trap: it becomes hard to distinguish real informational edge from emotional attachment to being right. The agent requires edge to be articulated in one or two specific sentences. "Management has always delivered" and "sector thesis intact" are not informational edge — the market knows those things too.</w:t>
      </w:r>
    </w:p>
    <w:p>
      <w:pPr>
        <w:pStyle w:val="Heading3"/>
        <w:spacing w:after="100" w:before="200"/>
      </w:pPr>
      <w:r>
        <w:t xml:space="preserve">Blind Spot 4: Familiarity creating false competence attribution</w:t>
      </w:r>
    </w:p>
    <w:p>
      <w:pPr>
        <w:spacing w:after="100" w:before="100"/>
        <w:jc w:val="left"/>
      </w:pPr>
      <w:r>
        <w:rPr>
          <w:sz w:val="22"/>
          <w:szCs w:val="22"/>
        </w:rPr>
        <w:t xml:space="preserve">Deep personal knowledge of a company creates false confidence that observed management capabilities transfer to different challenge types. Luis watched ENPH navigate the 2017-2018 margin compression crisis (internal execution — within management control). He assumed this transferred to NEM3.0 navigation (external regulatory disruption — outside management control). The agent asks: is the primary driver of the current challenge within management's direct operational control, the same way the challenges you observed them navigate were?</w:t>
      </w:r>
    </w:p>
    <w:p>
      <w:pPr>
        <w:pStyle w:val="Heading3"/>
        <w:spacing w:after="100" w:before="200"/>
      </w:pPr>
      <w:r>
        <w:t xml:space="preserve">Blind Spot 5: Mitigation argument inheriting unearned credibility</w:t>
      </w:r>
    </w:p>
    <w:p>
      <w:pPr>
        <w:spacing w:after="100" w:before="100"/>
        <w:jc w:val="left"/>
      </w:pPr>
      <w:r>
        <w:rPr>
          <w:sz w:val="22"/>
          <w:szCs w:val="22"/>
        </w:rPr>
        <w:t xml:space="preserve">Identified through transcript analysis. When management presents a mitigation argument that depends on a capability that has previously underperformed its own stated targets, the mitigation argument should be discounted proportionally to that track record — not inherited from overall management credibility. ENPH's NEM3.0 mitigation argument (storage will offset California decline) inherited 14 quarters of hardware execution credibility, but the storage ramp had underperformed for nine consecutive quarters. The agent flags this specifically.</w:t>
      </w:r>
    </w:p>
    <w:p>
      <w:pPr>
        <w:pBdr>
          <w:bottom w:val="single" w:color="AAAAAA" w:sz="1"/>
        </w:pBdr>
        <w:spacing w:after="200" w:before="200"/>
      </w:pPr>
    </w:p>
    <w:p>
      <w:pPr>
        <w:pStyle w:val="Heading1"/>
        <w:spacing w:after="200" w:before="400"/>
      </w:pPr>
      <w:r>
        <w:t xml:space="preserve">4. The Agent Architecture — Layer 3 → 2 → 1</w:t>
      </w:r>
    </w:p>
    <w:p>
      <w:pPr>
        <w:spacing w:after="100" w:before="100"/>
        <w:jc w:val="left"/>
      </w:pPr>
      <w:r>
        <w:rPr>
          <w:sz w:val="22"/>
          <w:szCs w:val="22"/>
        </w:rPr>
        <w:t xml:space="preserve">Critical: the operational sequence is 3→2→1, not 1→2→3. Find candidates first, classify them, then enforce rules. This ensures trim proceeds have a destination before the trim is executed, rather than being redeployed proportionally into the existing portfolio.</w:t>
      </w:r>
    </w:p>
    <w:p>
      <w:pPr>
        <w:pStyle w:val="Heading2"/>
        <w:spacing w:after="150" w:before="300"/>
      </w:pPr>
      <w:r>
        <w:t xml:space="preserve">Layer 3 — Opportunity Scanner</w:t>
      </w:r>
    </w:p>
    <w:p>
      <w:pPr>
        <w:spacing w:after="100" w:before="100"/>
        <w:jc w:val="left"/>
      </w:pPr>
      <w:r>
        <w:rPr>
          <w:sz w:val="22"/>
          <w:szCs w:val="22"/>
        </w:rPr>
        <w:t xml:space="preserve">Runs continuously. Scans the defined circle of competence for companies exhibiting early signatures of a high-conviction opportunity: accelerating revenue growth with expanding gross margins, management speaking in specifics and delivering against stated targets, defensible technology or market position not yet fully priced, and multiple independent demand drivers (Type B) or a clear single-driver moat (Type A).</w:t>
      </w:r>
    </w:p>
    <w:p>
      <w:pPr>
        <w:spacing w:after="100" w:before="100"/>
        <w:jc w:val="left"/>
      </w:pPr>
      <w:r>
        <w:rPr>
          <w:sz w:val="22"/>
          <w:szCs w:val="22"/>
        </w:rPr>
        <w:t xml:space="preserve">Surfaces one or two candidates per quarter maximum. When a position is trimmed, asks: what is the highest-conviction available alternative within the circle of competence for these proceeds? Never redeploys proportionally into existing mediocre positions.</w:t>
      </w:r>
    </w:p>
    <w:p>
      <w:pPr>
        <w:pStyle w:val="Heading2"/>
        <w:spacing w:after="150" w:before="300"/>
      </w:pPr>
      <w:r>
        <w:t xml:space="preserve">Layer 2 — Thesis Classification and Monitoring</w:t>
      </w:r>
    </w:p>
    <w:p>
      <w:pPr>
        <w:spacing w:after="100" w:before="100"/>
        <w:jc w:val="left"/>
      </w:pPr>
      <w:r>
        <w:rPr>
          <w:sz w:val="22"/>
          <w:szCs w:val="22"/>
        </w:rPr>
        <w:t xml:space="preserve">At onboarding, classifies each position as Type A or Type B:</w:t>
      </w:r>
    </w:p>
    <w:p>
      <w:pPr>
        <w:pStyle w:val="ListParagraph"/>
        <w:numPr>
          <w:ilvl w:val="0"/>
          <w:numId w:val="1"/>
        </w:numPr>
        <w:spacing w:after="60" w:before="60"/>
      </w:pPr>
      <w:r>
        <w:rPr>
          <w:sz w:val="22"/>
          <w:szCs w:val="22"/>
        </w:rPr>
        <w:t xml:space="preserve">Type A — Single-driver thesis: one primary market, one regulatory environment, one distribution channel. Fixed cap ~35% with graduated exit ratchet tied to thesis signals. ENPH was Type A.</w:t>
      </w:r>
    </w:p>
    <w:p>
      <w:pPr>
        <w:pStyle w:val="ListParagraph"/>
        <w:numPr>
          <w:ilvl w:val="0"/>
          <w:numId w:val="1"/>
        </w:numPr>
        <w:spacing w:after="60" w:before="60"/>
      </w:pPr>
      <w:r>
        <w:rPr>
          <w:sz w:val="22"/>
          <w:szCs w:val="22"/>
        </w:rPr>
        <w:t xml:space="preserve">Type B — Multi-driver platform thesis: multiple independent demand drivers where impairment of one can be offset by acceleration of another. Variable cap tracking driver count (40-60%). NVDA is Type B.</w:t>
      </w:r>
    </w:p>
    <w:p>
      <w:pPr>
        <w:spacing w:after="100" w:before="100"/>
        <w:jc w:val="left"/>
      </w:pPr>
      <w:r>
        <w:rPr>
          <w:sz w:val="22"/>
          <w:szCs w:val="22"/>
        </w:rPr>
        <w:t xml:space="preserve">Every quarter, for each position, the agent runs a structured evaluation producing:</w:t>
      </w:r>
    </w:p>
    <w:p>
      <w:pPr>
        <w:pStyle w:val="ListParagraph"/>
        <w:numPr>
          <w:ilvl w:val="0"/>
          <w:numId w:val="1"/>
        </w:numPr>
        <w:spacing w:after="60" w:before="60"/>
      </w:pPr>
      <w:r>
        <w:rPr>
          <w:sz w:val="22"/>
          <w:szCs w:val="22"/>
        </w:rPr>
        <w:t xml:space="preserve">Thesis health score: Strengthening / Intact / Weakening / Broken</w:t>
      </w:r>
    </w:p>
    <w:p>
      <w:pPr>
        <w:pStyle w:val="ListParagraph"/>
        <w:numPr>
          <w:ilvl w:val="0"/>
          <w:numId w:val="1"/>
        </w:numPr>
        <w:spacing w:after="60" w:before="60"/>
      </w:pPr>
      <w:r>
        <w:rPr>
          <w:sz w:val="22"/>
          <w:szCs w:val="22"/>
        </w:rPr>
        <w:t xml:space="preserve">Management credibility ledger update: credits (guidance met, specific data) and debits (guidance missed, language shift to qualitative, changing explanations)</w:t>
      </w:r>
    </w:p>
    <w:p>
      <w:pPr>
        <w:pStyle w:val="ListParagraph"/>
        <w:numPr>
          <w:ilvl w:val="0"/>
          <w:numId w:val="1"/>
        </w:numPr>
        <w:spacing w:after="60" w:before="60"/>
      </w:pPr>
      <w:r>
        <w:rPr>
          <w:sz w:val="22"/>
          <w:szCs w:val="22"/>
        </w:rPr>
        <w:t xml:space="preserve">Stumble classification: Discovery / Execution failure / Structural / None</w:t>
      </w:r>
    </w:p>
    <w:p>
      <w:pPr>
        <w:pStyle w:val="ListParagraph"/>
        <w:numPr>
          <w:ilvl w:val="0"/>
          <w:numId w:val="1"/>
        </w:numPr>
        <w:spacing w:after="60" w:before="60"/>
      </w:pPr>
      <w:r>
        <w:rPr>
          <w:sz w:val="22"/>
          <w:szCs w:val="22"/>
        </w:rPr>
        <w:t xml:space="preserve">Threat mechanism test: does this threat impair the value creation mechanism or is it temporary disruption to timing/volume?</w:t>
      </w:r>
    </w:p>
    <w:p>
      <w:pPr>
        <w:pStyle w:val="ListParagraph"/>
        <w:numPr>
          <w:ilvl w:val="0"/>
          <w:numId w:val="1"/>
        </w:numPr>
        <w:spacing w:after="60" w:before="60"/>
      </w:pPr>
      <w:r>
        <w:rPr>
          <w:sz w:val="22"/>
          <w:szCs w:val="22"/>
        </w:rPr>
        <w:t xml:space="preserve">Fresh money question: if you had cash today and no existing position, what % would you allocate?</w:t>
      </w:r>
    </w:p>
    <w:p>
      <w:pPr>
        <w:pStyle w:val="ListParagraph"/>
        <w:numPr>
          <w:ilvl w:val="0"/>
          <w:numId w:val="1"/>
        </w:numPr>
        <w:spacing w:after="60" w:before="60"/>
      </w:pPr>
      <w:r>
        <w:rPr>
          <w:sz w:val="22"/>
          <w:szCs w:val="22"/>
        </w:rPr>
        <w:t xml:space="preserve">Specific recommendation: hold/add to X%/trim to X%/exit with measurable conditions for changing next quarter</w:t>
      </w:r>
    </w:p>
    <w:p>
      <w:pPr>
        <w:spacing w:after="100" w:before="100"/>
        <w:jc w:val="left"/>
      </w:pPr>
      <w:r>
        <w:rPr>
          <w:sz w:val="22"/>
          <w:szCs w:val="22"/>
        </w:rPr>
        <w:t xml:space="preserve">The graduated exit ratchet: Thesis moves to Weakening → trim to Weakening cap. One quarter with no improvement → trim by additional 40%. Second quarter of continued deterioration → trim to 3%. Third quarter → exit. This produces an average exit price across three tranches rather than a single panic exit.</w:t>
      </w:r>
    </w:p>
    <w:p>
      <w:pPr>
        <w:pStyle w:val="Heading2"/>
        <w:spacing w:after="150" w:before="300"/>
      </w:pPr>
      <w:r>
        <w:t xml:space="preserve">Layer 1 — Mechanical Rules</w:t>
      </w:r>
    </w:p>
    <w:p>
      <w:pPr>
        <w:spacing w:after="100" w:before="100"/>
        <w:jc w:val="left"/>
      </w:pPr>
      <w:r>
        <w:rPr>
          <w:sz w:val="22"/>
          <w:szCs w:val="22"/>
        </w:rPr>
        <w:t xml:space="preserve">Three rules only. Runs automatically regardless of Layer 2:</w:t>
      </w:r>
    </w:p>
    <w:p>
      <w:pPr>
        <w:pStyle w:val="ListParagraph"/>
        <w:numPr>
          <w:ilvl w:val="0"/>
          <w:numId w:val="1"/>
        </w:numPr>
        <w:spacing w:after="60" w:before="60"/>
      </w:pPr>
      <w:r>
        <w:rPr>
          <w:sz w:val="22"/>
          <w:szCs w:val="22"/>
        </w:rPr>
        <w:t xml:space="preserve">Concentration caps: Type A capped at 35% maximum at peak conviction. Type B capped at 50% maximum when multiple drivers expanding, dropping to 40% during driver impairment.</w:t>
      </w:r>
    </w:p>
    <w:p>
      <w:pPr>
        <w:pStyle w:val="ListParagraph"/>
        <w:numPr>
          <w:ilvl w:val="0"/>
          <w:numId w:val="1"/>
        </w:numPr>
        <w:spacing w:after="60" w:before="60"/>
      </w:pPr>
      <w:r>
        <w:rPr>
          <w:sz w:val="22"/>
          <w:szCs w:val="22"/>
        </w:rPr>
        <w:t xml:space="preserve">Tax-aware trim execution: 20% federal LTCG, trim tax-advantaged accounts first, show explicit tax cost calculation before every trim recommendation.</w:t>
      </w:r>
    </w:p>
    <w:p>
      <w:pPr>
        <w:pStyle w:val="ListParagraph"/>
        <w:numPr>
          <w:ilvl w:val="0"/>
          <w:numId w:val="1"/>
        </w:numPr>
        <w:spacing w:after="60" w:before="60"/>
      </w:pPr>
      <w:r>
        <w:rPr>
          <w:sz w:val="22"/>
          <w:szCs w:val="22"/>
        </w:rPr>
        <w:t xml:space="preserve">48-hour waiting period for Tier 4 (above 30% concentration): any decision to hold requires confirmation after 48 hours. Positions at this concentration carry enough emotional weight that real-time confirmation is structurally compromised.</w:t>
      </w:r>
    </w:p>
    <w:p>
      <w:pPr>
        <w:pBdr>
          <w:bottom w:val="single" w:color="AAAAAA" w:sz="1"/>
        </w:pBdr>
        <w:spacing w:after="200" w:before="200"/>
      </w:pPr>
    </w:p>
    <w:p>
      <w:pPr>
        <w:pStyle w:val="Heading1"/>
        <w:spacing w:after="200" w:before="400"/>
      </w:pPr>
      <w:r>
        <w:t xml:space="preserve">5. The Transcript Analysis — Validated Framework</w:t>
      </w:r>
    </w:p>
    <w:p>
      <w:pPr>
        <w:spacing w:after="100" w:before="100"/>
        <w:jc w:val="left"/>
      </w:pPr>
      <w:r>
        <w:rPr>
          <w:sz w:val="22"/>
          <w:szCs w:val="22"/>
        </w:rPr>
        <w:t xml:space="preserve">Nine anonymized ENPH earnings call transcripts (Q4 2019 through Q2 2023) were evaluated by a blind analyst in a separate chat, with no knowledge of the company or outcome. The analyst achieved a perfect record: identified the fictional inserted detail in every single transcript (9/9). This confirms the analysis was reading transcripts rather than retrieving memory.</w:t>
      </w:r>
    </w:p>
    <w:p>
      <w:pPr>
        <w:pStyle w:val="Heading2"/>
        <w:spacing w:after="150" w:before="300"/>
      </w:pPr>
      <w:r>
        <w:t xml:space="preserve">Nine-Call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sz w:val="22"/>
                <w:szCs w:val="22"/>
              </w:rPr>
              <w:t xml:space="preserve">Call</w:t>
            </w:r>
          </w:p>
        </w:tc>
        <w:tc>
          <w:p>
            <w:r>
              <w:rPr>
                <w:b/>
                <w:bCs/>
                <w:sz w:val="22"/>
                <w:szCs w:val="22"/>
              </w:rPr>
              <w:t xml:space="preserve">Thesis</w:t>
            </w:r>
          </w:p>
        </w:tc>
        <w:tc>
          <w:p>
            <w:r>
              <w:rPr>
                <w:b/>
                <w:bCs/>
                <w:sz w:val="22"/>
                <w:szCs w:val="22"/>
              </w:rPr>
              <w:t xml:space="preserve">Action</w:t>
            </w:r>
          </w:p>
        </w:tc>
        <w:tc>
          <w:p>
            <w:r>
              <w:rPr>
                <w:b/>
                <w:bCs/>
                <w:sz w:val="22"/>
                <w:szCs w:val="22"/>
              </w:rPr>
              <w:t xml:space="preserve">Max Size</w:t>
            </w:r>
          </w:p>
        </w:tc>
      </w:tr>
      <w:tr>
        <w:tc>
          <w:tcPr>
            <w:tcW w:type="pct" w:w="30%"/>
            <w:shd w:color="F5F5F5" w:val="solid"/>
          </w:tcPr>
          <w:p>
            <w:r>
              <w:rPr>
                <w:b/>
                <w:bCs/>
                <w:sz w:val="22"/>
                <w:szCs w:val="22"/>
              </w:rPr>
              <w:t xml:space="preserve">Q4 2019</w:t>
            </w:r>
          </w:p>
        </w:tc>
        <w:tc>
          <w:tcPr>
            <w:tcW w:type="pct" w:w="70%"/>
          </w:tcPr>
          <w:p>
            <w:pPr>
              <w:spacing w:after="100" w:before="100"/>
              <w:jc w:val="left"/>
            </w:pPr>
            <w:r>
              <w:rPr>
                <w:sz w:val="22"/>
                <w:szCs w:val="22"/>
              </w:rPr>
              <w:t xml:space="preserve">Strengthening → ADD → 7%</w:t>
            </w:r>
          </w:p>
        </w:tc>
      </w:tr>
      <w:tr>
        <w:tc>
          <w:tcPr>
            <w:tcW w:type="pct" w:w="30%"/>
            <w:shd w:color="F5F5F5" w:val="solid"/>
          </w:tcPr>
          <w:p>
            <w:r>
              <w:rPr>
                <w:b/>
                <w:bCs/>
                <w:sz w:val="22"/>
                <w:szCs w:val="22"/>
              </w:rPr>
              <w:t xml:space="preserve">Q1 2020</w:t>
            </w:r>
          </w:p>
        </w:tc>
        <w:tc>
          <w:tcPr>
            <w:tcW w:type="pct" w:w="70%"/>
          </w:tcPr>
          <w:p>
            <w:pPr>
              <w:spacing w:after="100" w:before="100"/>
              <w:jc w:val="left"/>
            </w:pPr>
            <w:r>
              <w:rPr>
                <w:sz w:val="22"/>
                <w:szCs w:val="22"/>
              </w:rPr>
              <w:t xml:space="preserve">Intact → HOLD → 7%</w:t>
            </w:r>
          </w:p>
        </w:tc>
      </w:tr>
      <w:tr>
        <w:tc>
          <w:tcPr>
            <w:tcW w:type="pct" w:w="30%"/>
            <w:shd w:color="F5F5F5" w:val="solid"/>
          </w:tcPr>
          <w:p>
            <w:r>
              <w:rPr>
                <w:b/>
                <w:bCs/>
                <w:sz w:val="22"/>
                <w:szCs w:val="22"/>
              </w:rPr>
              <w:t xml:space="preserve">Q2 2020</w:t>
            </w:r>
          </w:p>
        </w:tc>
        <w:tc>
          <w:tcPr>
            <w:tcW w:type="pct" w:w="70%"/>
          </w:tcPr>
          <w:p>
            <w:pPr>
              <w:spacing w:after="100" w:before="100"/>
              <w:jc w:val="left"/>
            </w:pPr>
            <w:r>
              <w:rPr>
                <w:sz w:val="22"/>
                <w:szCs w:val="22"/>
              </w:rPr>
              <w:t xml:space="preserve">Strengthening → ADD → 9%</w:t>
            </w:r>
          </w:p>
        </w:tc>
      </w:tr>
      <w:tr>
        <w:tc>
          <w:tcPr>
            <w:tcW w:type="pct" w:w="30%"/>
            <w:shd w:color="F5F5F5" w:val="solid"/>
          </w:tcPr>
          <w:p>
            <w:r>
              <w:rPr>
                <w:b/>
                <w:bCs/>
                <w:sz w:val="22"/>
                <w:szCs w:val="22"/>
              </w:rPr>
              <w:t xml:space="preserve">Q3 2020</w:t>
            </w:r>
          </w:p>
        </w:tc>
        <w:tc>
          <w:tcPr>
            <w:tcW w:type="pct" w:w="70%"/>
          </w:tcPr>
          <w:p>
            <w:pPr>
              <w:spacing w:after="100" w:before="100"/>
              <w:jc w:val="left"/>
            </w:pPr>
            <w:r>
              <w:rPr>
                <w:sz w:val="22"/>
                <w:szCs w:val="22"/>
              </w:rPr>
              <w:t xml:space="preserve">Strengthening → ADD → 11%</w:t>
            </w:r>
          </w:p>
        </w:tc>
      </w:tr>
      <w:tr>
        <w:tc>
          <w:tcPr>
            <w:tcW w:type="pct" w:w="30%"/>
            <w:shd w:color="F5F5F5" w:val="solid"/>
          </w:tcPr>
          <w:p>
            <w:r>
              <w:rPr>
                <w:b/>
                <w:bCs/>
                <w:sz w:val="22"/>
                <w:szCs w:val="22"/>
              </w:rPr>
              <w:t xml:space="preserve">Q4 2020</w:t>
            </w:r>
          </w:p>
        </w:tc>
        <w:tc>
          <w:tcPr>
            <w:tcW w:type="pct" w:w="70%"/>
          </w:tcPr>
          <w:p>
            <w:pPr>
              <w:spacing w:after="100" w:before="100"/>
              <w:jc w:val="left"/>
            </w:pPr>
            <w:r>
              <w:rPr>
                <w:sz w:val="22"/>
                <w:szCs w:val="22"/>
              </w:rPr>
              <w:t xml:space="preserve">Strengthening → HOLD → 11%</w:t>
            </w:r>
          </w:p>
        </w:tc>
      </w:tr>
      <w:tr>
        <w:tc>
          <w:tcPr>
            <w:tcW w:type="pct" w:w="30%"/>
            <w:shd w:color="F5F5F5" w:val="solid"/>
          </w:tcPr>
          <w:p>
            <w:r>
              <w:rPr>
                <w:b/>
                <w:bCs/>
                <w:sz w:val="22"/>
                <w:szCs w:val="22"/>
              </w:rPr>
              <w:t xml:space="preserve">Q3 2022</w:t>
            </w:r>
          </w:p>
        </w:tc>
        <w:tc>
          <w:tcPr>
            <w:tcW w:type="pct" w:w="70%"/>
          </w:tcPr>
          <w:p>
            <w:pPr>
              <w:spacing w:after="100" w:before="100"/>
              <w:jc w:val="left"/>
            </w:pPr>
            <w:r>
              <w:rPr>
                <w:sz w:val="22"/>
                <w:szCs w:val="22"/>
              </w:rPr>
              <w:t xml:space="preserve">Strengthening → HOLD → 13%</w:t>
            </w:r>
          </w:p>
        </w:tc>
      </w:tr>
      <w:tr>
        <w:tc>
          <w:tcPr>
            <w:tcW w:type="pct" w:w="30%"/>
            <w:shd w:color="F5F5F5" w:val="solid"/>
          </w:tcPr>
          <w:p>
            <w:r>
              <w:rPr>
                <w:b/>
                <w:bCs/>
                <w:sz w:val="22"/>
                <w:szCs w:val="22"/>
              </w:rPr>
              <w:t xml:space="preserve">Q4 2022</w:t>
            </w:r>
          </w:p>
        </w:tc>
        <w:tc>
          <w:tcPr>
            <w:tcW w:type="pct" w:w="70%"/>
          </w:tcPr>
          <w:p>
            <w:pPr>
              <w:spacing w:after="100" w:before="100"/>
              <w:jc w:val="left"/>
            </w:pPr>
            <w:r>
              <w:rPr>
                <w:sz w:val="22"/>
                <w:szCs w:val="22"/>
              </w:rPr>
              <w:t xml:space="preserve">Intact (↓) → HOLD → 12%</w:t>
            </w:r>
          </w:p>
        </w:tc>
      </w:tr>
      <w:tr>
        <w:tc>
          <w:tcPr>
            <w:tcW w:type="pct" w:w="30%"/>
            <w:shd w:color="F5F5F5" w:val="solid"/>
          </w:tcPr>
          <w:p>
            <w:r>
              <w:rPr>
                <w:b/>
                <w:bCs/>
                <w:sz w:val="22"/>
                <w:szCs w:val="22"/>
              </w:rPr>
              <w:t xml:space="preserve">Q1 2023</w:t>
            </w:r>
          </w:p>
        </w:tc>
        <w:tc>
          <w:tcPr>
            <w:tcW w:type="pct" w:w="70%"/>
          </w:tcPr>
          <w:p>
            <w:pPr>
              <w:spacing w:after="100" w:before="100"/>
              <w:jc w:val="left"/>
            </w:pPr>
            <w:r>
              <w:rPr>
                <w:sz w:val="22"/>
                <w:szCs w:val="22"/>
              </w:rPr>
              <w:t xml:space="preserve">WEAKENING (↓) → TRIM TO 8% → 10%</w:t>
            </w:r>
          </w:p>
        </w:tc>
      </w:tr>
      <w:tr>
        <w:tc>
          <w:tcPr>
            <w:tcW w:type="pct" w:w="30%"/>
            <w:shd w:color="F5F5F5" w:val="solid"/>
          </w:tcPr>
          <w:p>
            <w:r>
              <w:rPr>
                <w:b/>
                <w:bCs/>
                <w:sz w:val="22"/>
                <w:szCs w:val="22"/>
              </w:rPr>
              <w:t xml:space="preserve">Q2 2023</w:t>
            </w:r>
          </w:p>
        </w:tc>
        <w:tc>
          <w:tcPr>
            <w:tcW w:type="pct" w:w="70%"/>
          </w:tcPr>
          <w:p>
            <w:pPr>
              <w:spacing w:after="100" w:before="100"/>
              <w:jc w:val="left"/>
            </w:pPr>
            <w:r>
              <w:rPr>
                <w:sz w:val="22"/>
                <w:szCs w:val="22"/>
              </w:rPr>
              <w:t xml:space="preserve">Weakening deepening → HOLD AT 8% → 8%</w:t>
            </w:r>
          </w:p>
        </w:tc>
      </w:tr>
    </w:tbl>
    <w:p>
      <w:pPr>
        <w:spacing w:after="100" w:before="100"/>
        <w:jc w:val="left"/>
      </w:pPr>
      <w:r>
        <w:rPr>
          <w:sz w:val="22"/>
          <w:szCs w:val="22"/>
        </w:rPr>
        <w:t xml:space="preserve">Key finding: across nine calls at peak thesis confidence, the blind analyst never recommended more than 13% of portfolio. Luis held 62-95%. The gap is not an analytical failure — it is a structural absence of concentration rules running continuously.</w:t>
      </w:r>
    </w:p>
    <w:p>
      <w:pPr>
        <w:spacing w:after="100" w:before="100"/>
        <w:jc w:val="left"/>
      </w:pPr>
      <w:r>
        <w:rPr>
          <w:sz w:val="22"/>
          <w:szCs w:val="22"/>
        </w:rPr>
        <w:t xml:space="preserve">The collar placed in March/April 2020 was analytically indefensible. The Q1 2020 recommendation was HOLD unhedged. COVID was correctly classified as a temporary volume disruption with no mechanism impairment. The correct action was trimming shares from 62% to ~11%, not installing a structure that capped upside on an intact thesis.</w:t>
      </w:r>
    </w:p>
    <w:p>
      <w:pPr>
        <w:spacing w:after="100" w:before="100"/>
        <w:jc w:val="left"/>
      </w:pPr>
      <w:r>
        <w:rPr>
          <w:sz w:val="22"/>
          <w:szCs w:val="22"/>
        </w:rPr>
        <w:t xml:space="preserve">The TRIM signal came at Q1 2023 (April 25, 2023) — the first guidance miss. The graduated ratchet would have produced average exit price of approximately $110-120/share versus the actual single exit around $80.</w:t>
      </w:r>
    </w:p>
    <w:p>
      <w:pPr>
        <w:spacing w:after="100" w:before="100"/>
        <w:jc w:val="left"/>
      </w:pPr>
      <w:r>
        <w:rPr>
          <w:sz w:val="22"/>
          <w:szCs w:val="22"/>
        </w:rPr>
        <w:t xml:space="preserve">Most important finding: the thesis weakened primarily because battery attach rates never met expectations across nine consecutive quarters. NEM3.0 was the trigger. The battery execution failure was the cause. The NEM3.0 mitigation argument rested entirely on storage ramp acceleration — a capability that had repeatedly underperformed stated targets. The mitigation argument inherited management credibility it had not earned.</w:t>
      </w:r>
    </w:p>
    <w:p>
      <w:pPr>
        <w:pBdr>
          <w:bottom w:val="single" w:color="AAAAAA" w:sz="1"/>
        </w:pBdr>
        <w:spacing w:after="200" w:before="200"/>
      </w:pPr>
    </w:p>
    <w:p>
      <w:pPr>
        <w:pStyle w:val="Heading1"/>
        <w:spacing w:after="200" w:before="400"/>
      </w:pPr>
      <w:r>
        <w:t xml:space="preserve">6. The Application — What We Are Building</w:t>
      </w:r>
    </w:p>
    <w:p>
      <w:pPr>
        <w:spacing w:after="100" w:before="100"/>
        <w:jc w:val="left"/>
      </w:pPr>
      <w:r>
        <w:rPr>
          <w:sz w:val="22"/>
          <w:szCs w:val="22"/>
        </w:rPr>
        <w:t xml:space="preserve">A personal investment analysis web application called "Portfolio Analyst." Personal use only — separate from Windmar accounts entirely.</w:t>
      </w:r>
    </w:p>
    <w:p>
      <w:pPr>
        <w:pStyle w:val="Heading2"/>
        <w:spacing w:after="150" w:before="300"/>
      </w:pPr>
      <w:r>
        <w:t xml:space="preserve">Tech Stack</w:t>
      </w:r>
    </w:p>
    <w:p>
      <w:pPr>
        <w:pStyle w:val="ListParagraph"/>
        <w:numPr>
          <w:ilvl w:val="0"/>
          <w:numId w:val="1"/>
        </w:numPr>
        <w:spacing w:after="60" w:before="60"/>
      </w:pPr>
      <w:r>
        <w:rPr>
          <w:sz w:val="22"/>
          <w:szCs w:val="22"/>
        </w:rPr>
        <w:t xml:space="preserve">Frontend: React + Tailwind CSS</w:t>
      </w:r>
    </w:p>
    <w:p>
      <w:pPr>
        <w:pStyle w:val="ListParagraph"/>
        <w:numPr>
          <w:ilvl w:val="0"/>
          <w:numId w:val="1"/>
        </w:numPr>
        <w:spacing w:after="60" w:before="60"/>
      </w:pPr>
      <w:r>
        <w:rPr>
          <w:sz w:val="22"/>
          <w:szCs w:val="22"/>
        </w:rPr>
        <w:t xml:space="preserve">Backend: Node.js + Express</w:t>
      </w:r>
    </w:p>
    <w:p>
      <w:pPr>
        <w:pStyle w:val="ListParagraph"/>
        <w:numPr>
          <w:ilvl w:val="0"/>
          <w:numId w:val="1"/>
        </w:numPr>
        <w:spacing w:after="60" w:before="60"/>
      </w:pPr>
      <w:r>
        <w:rPr>
          <w:sz w:val="22"/>
          <w:szCs w:val="22"/>
        </w:rPr>
        <w:t xml:space="preserve">Database: PostgreSQL</w:t>
      </w:r>
    </w:p>
    <w:p>
      <w:pPr>
        <w:pStyle w:val="ListParagraph"/>
        <w:numPr>
          <w:ilvl w:val="0"/>
          <w:numId w:val="1"/>
        </w:numPr>
        <w:spacing w:after="60" w:before="60"/>
      </w:pPr>
      <w:r>
        <w:rPr>
          <w:sz w:val="22"/>
          <w:szCs w:val="22"/>
        </w:rPr>
        <w:t xml:space="preserve">Auth: Clerk (password + 2FA)</w:t>
      </w:r>
    </w:p>
    <w:p>
      <w:pPr>
        <w:pStyle w:val="ListParagraph"/>
        <w:numPr>
          <w:ilvl w:val="0"/>
          <w:numId w:val="1"/>
        </w:numPr>
        <w:spacing w:after="60" w:before="60"/>
      </w:pPr>
      <w:r>
        <w:rPr>
          <w:sz w:val="22"/>
          <w:szCs w:val="22"/>
        </w:rPr>
        <w:t xml:space="preserve">AI: Anthropic API (Claude Sonnet)</w:t>
      </w:r>
    </w:p>
    <w:p>
      <w:pPr>
        <w:pStyle w:val="ListParagraph"/>
        <w:numPr>
          <w:ilvl w:val="0"/>
          <w:numId w:val="1"/>
        </w:numPr>
        <w:spacing w:after="60" w:before="60"/>
      </w:pPr>
      <w:r>
        <w:rPr>
          <w:sz w:val="22"/>
          <w:szCs w:val="22"/>
        </w:rPr>
        <w:t xml:space="preserve">Hosting: Railway (separate dev and prod services)</w:t>
      </w:r>
    </w:p>
    <w:p>
      <w:pPr>
        <w:pStyle w:val="ListParagraph"/>
        <w:numPr>
          <w:ilvl w:val="0"/>
          <w:numId w:val="1"/>
        </w:numPr>
        <w:spacing w:after="60" w:before="60"/>
      </w:pPr>
      <w:r>
        <w:rPr>
          <w:sz w:val="22"/>
          <w:szCs w:val="22"/>
        </w:rPr>
        <w:t xml:space="preserve">Transcript source: SEC EDGAR API free tier, copy-paste fallback, Polygon.io as upgrade path</w:t>
      </w:r>
    </w:p>
    <w:p>
      <w:pPr>
        <w:pStyle w:val="Heading2"/>
        <w:spacing w:after="150" w:before="300"/>
      </w:pPr>
      <w:r>
        <w:t xml:space="preserve">Four Core Modules</w:t>
      </w:r>
    </w:p>
    <w:p>
      <w:pPr>
        <w:pStyle w:val="ListParagraph"/>
        <w:numPr>
          <w:ilvl w:val="0"/>
          <w:numId w:val="1"/>
        </w:numPr>
        <w:spacing w:after="60" w:before="60"/>
      </w:pPr>
      <w:r>
        <w:rPr>
          <w:sz w:val="22"/>
          <w:szCs w:val="22"/>
        </w:rPr>
        <w:t xml:space="preserve">PORTFOLIO: reads current positions from Schwab CSV export or manual entry. Stores ticker, shares, account type (taxable/IRA/Roth), cost basis, current % of portfolio.</w:t>
      </w:r>
    </w:p>
    <w:p>
      <w:pPr>
        <w:pStyle w:val="ListParagraph"/>
        <w:numPr>
          <w:ilvl w:val="0"/>
          <w:numId w:val="1"/>
        </w:numPr>
        <w:spacing w:after="60" w:before="60"/>
      </w:pPr>
      <w:r>
        <w:rPr>
          <w:sz w:val="22"/>
          <w:szCs w:val="22"/>
        </w:rPr>
        <w:t xml:space="preserve">DASHBOARD: all current positions with latest AI analyst recommendation (hold/add/trim/exit), thesis health score, one-sentence rationale. Color-coded by urgency. Click-through to full analysis.</w:t>
      </w:r>
    </w:p>
    <w:p>
      <w:pPr>
        <w:pStyle w:val="ListParagraph"/>
        <w:numPr>
          <w:ilvl w:val="0"/>
          <w:numId w:val="1"/>
        </w:numPr>
        <w:spacing w:after="60" w:before="60"/>
      </w:pPr>
      <w:r>
        <w:rPr>
          <w:sz w:val="22"/>
          <w:szCs w:val="22"/>
        </w:rPr>
        <w:t xml:space="preserve">RADAR: watchlist of tickers under evaluation. User adds ticker, pastes up to 4 earnings call transcripts, agent runs structured evaluation and returns thesis health score, credibility assessment, stumble classification, threat mechanism test, Type A/B classification, recommended cap %, and buy/monitor/discard recommendation.</w:t>
      </w:r>
    </w:p>
    <w:p>
      <w:pPr>
        <w:pStyle w:val="ListParagraph"/>
        <w:numPr>
          <w:ilvl w:val="0"/>
          <w:numId w:val="1"/>
        </w:numPr>
        <w:spacing w:after="60" w:before="60"/>
      </w:pPr>
      <w:r>
        <w:rPr>
          <w:sz w:val="22"/>
          <w:szCs w:val="22"/>
        </w:rPr>
        <w:t xml:space="preserve">ALERTS: press releases classified by thesis relevance (positive/negative/noise). Only thesis-relevant items surface as notifications. IR page RSS feeds where available, scheduled scraping otherwise, Claude classification on each item.</w:t>
      </w:r>
    </w:p>
    <w:p>
      <w:pPr>
        <w:pStyle w:val="Heading2"/>
        <w:spacing w:after="150" w:before="300"/>
      </w:pPr>
      <w:r>
        <w:t xml:space="preserve">Build Sequence</w:t>
      </w:r>
    </w:p>
    <w:p>
      <w:pPr>
        <w:pStyle w:val="ListParagraph"/>
        <w:numPr>
          <w:ilvl w:val="0"/>
          <w:numId w:val="1"/>
        </w:numPr>
        <w:spacing w:after="60" w:before="60"/>
      </w:pPr>
      <w:r>
        <w:rPr>
          <w:sz w:val="22"/>
          <w:szCs w:val="22"/>
        </w:rPr>
        <w:t xml:space="preserve">Step 1: Earnings call evaluator — paste transcript, get structured analysis. No auth, no database yet. Proof of concept for the AI layer.</w:t>
      </w:r>
    </w:p>
    <w:p>
      <w:pPr>
        <w:pStyle w:val="ListParagraph"/>
        <w:numPr>
          <w:ilvl w:val="0"/>
          <w:numId w:val="1"/>
        </w:numPr>
        <w:spacing w:after="60" w:before="60"/>
      </w:pPr>
      <w:r>
        <w:rPr>
          <w:sz w:val="22"/>
          <w:szCs w:val="22"/>
        </w:rPr>
        <w:t xml:space="preserve">Step 2: Database persistence, RADAR ticker management, dashboard with CSV upload, Clerk auth. This is v1.</w:t>
      </w:r>
    </w:p>
    <w:p>
      <w:pPr>
        <w:pStyle w:val="ListParagraph"/>
        <w:numPr>
          <w:ilvl w:val="0"/>
          <w:numId w:val="1"/>
        </w:numPr>
        <w:spacing w:after="60" w:before="60"/>
      </w:pPr>
      <w:r>
        <w:rPr>
          <w:sz w:val="22"/>
          <w:szCs w:val="22"/>
        </w:rPr>
        <w:t xml:space="preserve">Step 3: Schwab API integration, SEC EDGAR transcript fetching, press release monitoring.</w:t>
      </w:r>
    </w:p>
    <w:p>
      <w:pPr>
        <w:pStyle w:val="Heading2"/>
        <w:spacing w:after="150" w:before="300"/>
      </w:pPr>
      <w:r>
        <w:t xml:space="preserve">Current Account Setup</w:t>
      </w:r>
    </w:p>
    <w:p>
      <w:pPr>
        <w:spacing w:after="100" w:before="100"/>
        <w:jc w:val="left"/>
      </w:pPr>
      <w:r>
        <w:rPr>
          <w:sz w:val="22"/>
          <w:szCs w:val="22"/>
        </w:rPr>
        <w:t xml:space="preserve">Personal GitHub account and personal Railway account are being created fresh — separate from Windmar. Personal Anthropic API account for the application backend. Personal Claude.ai account for development conversations going forward.</w:t>
      </w:r>
    </w:p>
    <w:p>
      <w:pPr>
        <w:pBdr>
          <w:bottom w:val="single" w:color="AAAAAA" w:sz="1"/>
        </w:pBdr>
        <w:spacing w:after="200" w:before="200"/>
      </w:pPr>
    </w:p>
    <w:p>
      <w:pPr>
        <w:pStyle w:val="Heading1"/>
        <w:spacing w:after="200" w:before="400"/>
      </w:pPr>
      <w:r>
        <w:t xml:space="preserve">7. Current Portfolio Positions</w:t>
      </w:r>
    </w:p>
    <w:p>
      <w:pPr>
        <w:pStyle w:val="Heading3"/>
        <w:spacing w:after="100" w:before="200"/>
      </w:pPr>
      <w:r>
        <w:t xml:space="preserve">AMPX (Amprius Technologies) — ~33% of portfolio — URGENT</w:t>
      </w:r>
    </w:p>
    <w:p>
      <w:pPr>
        <w:spacing w:after="100" w:before="100"/>
        <w:jc w:val="left"/>
      </w:pPr>
      <w:r>
        <w:rPr>
          <w:sz w:val="22"/>
          <w:szCs w:val="22"/>
        </w:rPr>
        <w:t xml:space="preserve">Thesis: Advanced silicon-anode battery for defense/aerospace/drones. 520 Wh/kg energy density (~2x conventional lithium-ion). Revenue 3x YoY to $73M. Gross margins from -76% to +24% in Q4 2025. Going concern removed. $90.5M cash. 550+ customers. NDAA compliance ahead of schedule.</w:t>
      </w:r>
    </w:p>
    <w:p>
      <w:pPr>
        <w:spacing w:after="100" w:before="100"/>
        <w:jc w:val="left"/>
      </w:pPr>
      <w:r>
        <w:rPr>
          <w:sz w:val="22"/>
          <w:szCs w:val="22"/>
        </w:rPr>
        <w:t xml:space="preserve">PROBLEM: 33% is Tier 4 concentration, mirrors the ENPH pattern exactly. Recommendation: systematic trim to 15% maximum. Trim tax-advantaged accounts first. Proceeds to: defensive allocation, S&amp;P 500 ETF, dry powder for new opportunities.</w:t>
      </w:r>
    </w:p>
    <w:p>
      <w:pPr>
        <w:spacing w:after="100" w:before="100"/>
        <w:jc w:val="left"/>
      </w:pPr>
      <w:r>
        <w:rPr>
          <w:sz w:val="22"/>
          <w:szCs w:val="22"/>
        </w:rPr>
        <w:t xml:space="preserve">Type A: defense/drone single-market dependency with thin cash ($90.5M vs EOSE/ENVX at $621M each).</w:t>
      </w:r>
    </w:p>
    <w:p>
      <w:pPr>
        <w:pStyle w:val="Heading3"/>
        <w:spacing w:after="100" w:before="200"/>
      </w:pPr>
      <w:r>
        <w:t xml:space="preserve">EOSE (Eos Energy) — ~4% of portfolio</w:t>
      </w:r>
    </w:p>
    <w:p>
      <w:pPr>
        <w:spacing w:after="100" w:before="100"/>
        <w:jc w:val="left"/>
      </w:pPr>
      <w:r>
        <w:rPr>
          <w:sz w:val="22"/>
          <w:szCs w:val="22"/>
        </w:rPr>
        <w:t xml:space="preserve">Thesis: Zinc-based long-duration grid storage. $625M cash (highest ever). Going concern removed. $23.6B commercial pipeline. Non-flammable chemistry moat for data centers. Technology is proven — this is a manufacturing execution problem, not a technology problem.</w:t>
      </w:r>
    </w:p>
    <w:p>
      <w:pPr>
        <w:spacing w:after="100" w:before="100"/>
        <w:jc w:val="left"/>
      </w:pPr>
      <w:r>
        <w:rPr>
          <w:sz w:val="22"/>
          <w:szCs w:val="22"/>
        </w:rPr>
        <w:t xml:space="preserve">Tripwire: Q1 2026 must confirm downtime improving toward 10% target (was 30%+ in Q4 2025). New COO (John Mehas, 4 months) identified three specific root causes with unusual transparency. Add to 6-8% only if Q1 confirms. Type A.</w:t>
      </w:r>
    </w:p>
    <w:p>
      <w:pPr>
        <w:pStyle w:val="Heading3"/>
        <w:spacing w:after="100" w:before="200"/>
      </w:pPr>
      <w:r>
        <w:t xml:space="preserve">ENVX (Enovix) — ~3.6% of portfolio</w:t>
      </w:r>
    </w:p>
    <w:p>
      <w:pPr>
        <w:spacing w:after="100" w:before="100"/>
        <w:jc w:val="left"/>
      </w:pPr>
      <w:r>
        <w:rPr>
          <w:sz w:val="22"/>
          <w:szCs w:val="22"/>
        </w:rPr>
        <w:t xml:space="preserve">Thesis: 100% silicon-anode energy density leadership for smartphones and smart eyewear. $621M cash. Smart eyewear production PO received as near-term bridge. Two-layer risk: qualification then manufacturing.</w:t>
      </w:r>
    </w:p>
    <w:p>
      <w:pPr>
        <w:spacing w:after="100" w:before="100"/>
        <w:jc w:val="left"/>
      </w:pPr>
      <w:r>
        <w:rPr>
          <w:sz w:val="22"/>
          <w:szCs w:val="22"/>
        </w:rPr>
        <w:t xml:space="preserve">Tripwire: Honor smartphone qualification must resolve by Q3 2026 or reduce to 2%. The 0.7C cycle life issue has three resolution pathways with different timelines. Do not add until Honor pathway clarified. Type A.</w:t>
      </w:r>
    </w:p>
    <w:p>
      <w:pPr>
        <w:pStyle w:val="Heading3"/>
        <w:spacing w:after="100" w:before="200"/>
      </w:pPr>
      <w:r>
        <w:t xml:space="preserve">ETF / Commodity Layer</w:t>
      </w:r>
    </w:p>
    <w:p>
      <w:pPr>
        <w:spacing w:after="100" w:before="100"/>
        <w:jc w:val="left"/>
      </w:pPr>
      <w:r>
        <w:rPr>
          <w:sz w:val="22"/>
          <w:szCs w:val="22"/>
        </w:rPr>
        <w:t xml:space="preserve">NASDAQ ETF, Gold ETF, Silver ETF, Bitcoin ETF. Weights not precisely disclosed. Gold is the only true defensive hedge. Bitcoin and NASDAQ ETF are both risk-on correlated — portfolio lacks genuine non-correlated defensive exposure. After AMPX trim, strengthen S&amp;P 500 (not just NASDAQ) exposure and potentially copper ETF given energy transition thesis.</w:t>
      </w:r>
    </w:p>
    <w:p>
      <w:pPr>
        <w:pBdr>
          <w:bottom w:val="single" w:color="AAAAAA" w:sz="1"/>
        </w:pBdr>
        <w:spacing w:after="200" w:before="200"/>
      </w:pPr>
    </w:p>
    <w:p>
      <w:pPr>
        <w:pStyle w:val="Heading1"/>
        <w:spacing w:after="200" w:before="400"/>
      </w:pPr>
      <w:r>
        <w:t xml:space="preserve">8. What the New Instance Should Know About Luis</w:t>
      </w:r>
    </w:p>
    <w:p>
      <w:pPr>
        <w:spacing w:after="100" w:before="100"/>
        <w:jc w:val="left"/>
      </w:pPr>
      <w:r>
        <w:rPr>
          <w:sz w:val="22"/>
          <w:szCs w:val="22"/>
        </w:rPr>
        <w:t xml:space="preserve">He does not need softening or reassurance. He needs a thinking partner that challenges his framework, not one that executes it more efficiently.</w:t>
      </w:r>
    </w:p>
    <w:p>
      <w:pPr>
        <w:spacing w:after="100" w:before="100"/>
        <w:jc w:val="left"/>
      </w:pPr>
      <w:r>
        <w:rPr>
          <w:sz w:val="22"/>
          <w:szCs w:val="22"/>
        </w:rPr>
        <w:t xml:space="preserve">He has explicitly identified his own blind spots and designed the agent to counteract them. He will push back on recommendations — the correct response is to engage with the argument, weight it against evidence, and either update with explanation or maintain position with specific reasons. Capitulating to pushback is the failure mode.</w:t>
      </w:r>
    </w:p>
    <w:p>
      <w:pPr>
        <w:spacing w:after="100" w:before="100"/>
        <w:jc w:val="left"/>
      </w:pPr>
      <w:r>
        <w:rPr>
          <w:sz w:val="22"/>
          <w:szCs w:val="22"/>
        </w:rPr>
        <w:t xml:space="preserve">He thinks in first principles and will identify logical flaws in proposed frameworks. When he does, he is almost always right and the framework should be updated, not defended.</w:t>
      </w:r>
    </w:p>
    <w:p>
      <w:pPr>
        <w:spacing w:after="100" w:before="100"/>
        <w:jc w:val="left"/>
      </w:pPr>
      <w:r>
        <w:rPr>
          <w:sz w:val="22"/>
          <w:szCs w:val="22"/>
        </w:rPr>
        <w:t xml:space="preserve">The most important design principle, stated by him directly: "I don't want an agent that says trim 15% and when I push back says copy, hold. I want an agent that says yes X has runway but Y may be better because of A and B, and if you sell 15% of X and put it in Y your chances of higher returns go up by Z%."</w:t>
      </w:r>
    </w:p>
    <w:p>
      <w:pPr>
        <w:spacing w:after="100" w:before="100"/>
        <w:jc w:val="left"/>
      </w:pPr>
      <w:r>
        <w:rPr>
          <w:sz w:val="22"/>
          <w:szCs w:val="22"/>
        </w:rPr>
        <w:t xml:space="preserve">His investment horizon is 3-5 years. He is not a trader. Quarterly rebalancing is the right cadence. He reads earnings calls himself and is sensitive to management language quality.</w:t>
      </w:r>
    </w:p>
    <w:p>
      <w:pPr>
        <w:pBdr>
          <w:bottom w:val="single" w:color="AAAAAA" w:sz="1"/>
        </w:pBdr>
        <w:spacing w:after="200" w:before="200"/>
      </w:pPr>
    </w:p>
    <w:p>
      <w:pPr>
        <w:pStyle w:val="Heading1"/>
        <w:spacing w:after="200" w:before="400"/>
      </w:pPr>
      <w:r>
        <w:t xml:space="preserve">9. What Is at Risk of Loss in This Migration</w:t>
      </w:r>
    </w:p>
    <w:p>
      <w:pPr>
        <w:spacing w:after="100" w:before="100"/>
        <w:jc w:val="left"/>
      </w:pPr>
      <w:r>
        <w:rPr>
          <w:sz w:val="22"/>
          <w:szCs w:val="22"/>
        </w:rPr>
        <w:t xml:space="preserve">This section documents what cannot be reconstructed from a document alone and must be actively preserved.</w:t>
      </w:r>
    </w:p>
    <w:p>
      <w:pPr>
        <w:pStyle w:val="Heading3"/>
        <w:spacing w:after="100" w:before="200"/>
      </w:pPr>
      <w:r>
        <w:t xml:space="preserve">The backtest scripts</w:t>
      </w:r>
    </w:p>
    <w:p>
      <w:pPr>
        <w:spacing w:after="100" w:before="100"/>
        <w:jc w:val="left"/>
      </w:pPr>
      <w:r>
        <w:rPr>
          <w:sz w:val="22"/>
          <w:szCs w:val="22"/>
        </w:rPr>
        <w:t xml:space="preserve">Four Python scripts were built and validated: backtest.py, backtest_extra.py, backtest_scenarios56.py, backtest_scenarios7.py. These live on Luis's local machine in ~/Desktop/Portfolio_Backtest/ along with price_cache.json. The scripts are fully functional and produce the validated results above. They should be committed to the new personal GitHub repo immediately.</w:t>
      </w:r>
    </w:p>
    <w:p>
      <w:pPr>
        <w:pStyle w:val="Heading3"/>
        <w:spacing w:after="100" w:before="200"/>
      </w:pPr>
      <w:r>
        <w:t xml:space="preserve">The analysis chat prompt</w:t>
      </w:r>
    </w:p>
    <w:p>
      <w:pPr>
        <w:spacing w:after="100" w:before="100"/>
        <w:jc w:val="left"/>
      </w:pPr>
      <w:r>
        <w:rPr>
          <w:sz w:val="22"/>
          <w:szCs w:val="22"/>
        </w:rPr>
        <w:t xml:space="preserve">A specific structured evaluation prompt was developed and validated across nine transcripts in a separate "analysis chat." That prompt produces: thesis health score, management credibility assessment, stumble classification, threat mechanism test, position type (A/B), recommended cap %, and hold/add/trim/exit with specific conditions. This prompt is the core of Layer 2 and should be preserved verbatim. It is documented in the agent architecture section above and should be the first thing implemented in the Portfolio Analyst application.</w:t>
      </w:r>
    </w:p>
    <w:p>
      <w:pPr>
        <w:pStyle w:val="Heading3"/>
        <w:spacing w:after="100" w:before="200"/>
      </w:pPr>
      <w:r>
        <w:t xml:space="preserve">The anonymization chat prompt</w:t>
      </w:r>
    </w:p>
    <w:p>
      <w:pPr>
        <w:spacing w:after="100" w:before="100"/>
        <w:jc w:val="left"/>
      </w:pPr>
      <w:r>
        <w:rPr>
          <w:sz w:val="22"/>
          <w:szCs w:val="22"/>
        </w:rPr>
        <w:t xml:space="preserve">A specific prompt was developed for anonymizing earnings call transcripts to remove pattern recognition triggers: replace ticker with XYZ/Zenith Components, replace executive names with generic names consistently across transcripts, replace geographies with regional labels, multiply financials by 0.73, replace regulatory references with generic labels, add one [ADDED] fictional detail per transcript. This prompt should be saved for ongoing use.</w:t>
      </w:r>
    </w:p>
    <w:p>
      <w:pPr>
        <w:pStyle w:val="Heading3"/>
        <w:spacing w:after="100" w:before="200"/>
      </w:pPr>
      <w:r>
        <w:t xml:space="preserve">The price cache</w:t>
      </w:r>
    </w:p>
    <w:p>
      <w:pPr>
        <w:spacing w:after="100" w:before="100"/>
        <w:jc w:val="left"/>
      </w:pPr>
      <w:r>
        <w:rPr>
          <w:sz w:val="22"/>
          <w:szCs w:val="22"/>
        </w:rPr>
        <w:t xml:space="preserve">price_cache.json contains 1,508 days of historical price data for 47 tickers. Do not delete this. It is the data foundation for any future backtest runs or scenario analysis.</w:t>
      </w:r>
    </w:p>
    <w:p>
      <w:pPr>
        <w:pStyle w:val="Heading3"/>
        <w:spacing w:after="100" w:before="200"/>
      </w:pPr>
      <w:r>
        <w:t xml:space="preserve">The nuance that cannot be summarized</w:t>
      </w:r>
    </w:p>
    <w:p>
      <w:pPr>
        <w:spacing w:after="100" w:before="100"/>
        <w:jc w:val="left"/>
      </w:pPr>
      <w:r>
        <w:rPr>
          <w:sz w:val="22"/>
          <w:szCs w:val="22"/>
        </w:rPr>
        <w:t xml:space="preserve">Nine hours of conversation developed specific reasoning that is partially captured here but imperfectly. The most important things that could be lost: (1) the specific reasoning about why the ENPH collar was wrong — not because of bad luck but because it was the wrong instrument for the actual problem (concentration, not downside risk); (2) the battery attach rate finding — that NEM3.0 was a trigger not a cause, and the real cause was nine quarters of storage ramp underperformance; (3) the Type A/B classification framework and why the ENPH inflection at 35% is analytically defensible (thesis structure) while NVDA's monotonic curve is honest hindsight; (4) the mitigation argument discount — probably the most subtle and important design principle, not yet implemented anywhere.</w:t>
      </w:r>
    </w:p>
    <w:p>
      <w:pPr>
        <w:pBdr>
          <w:bottom w:val="single" w:color="AAAAAA" w:sz="1"/>
        </w:pBdr>
        <w:spacing w:after="200" w:before="200"/>
      </w:pPr>
    </w:p>
    <w:p>
      <w:pPr>
        <w:spacing w:after="200" w:before="400"/>
        <w:jc w:val="center"/>
      </w:pPr>
      <w:r>
        <w:rPr>
          <w:i/>
          <w:iCs/>
          <w:color w:val="888888"/>
          <w:sz w:val="20"/>
          <w:szCs w:val="20"/>
        </w:rPr>
        <w:t xml:space="preserve">End of Handoff Brief — March 30,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1B3F8B"/>
      <w:sz w:val="32"/>
      <w:szCs w:val="32"/>
    </w:rPr>
  </w:style>
  <w:style w:type="paragraph" w:styleId="Heading2">
    <w:name w:val="Heading 2"/>
    <w:rPr>
      <w:b/>
      <w:bCs/>
      <w:color w:val="1B3F8B"/>
      <w:sz w:val="26"/>
      <w:szCs w:val="26"/>
    </w:rPr>
  </w:style>
  <w:style w:type="paragraph" w:styleId="Heading3">
    <w:name w:val="Heading 3"/>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2026-03-30T22:58:04.469Z</dcterms:created>
  <dcterms:modified xsi:type="dcterms:W3CDTF">2026-03-30T22:58:04.470Z</dcterms:modified>
</cp:coreProperties>
</file>

<file path=docProps/custom.xml><?xml version="1.0" encoding="utf-8"?>
<Properties xmlns="http://schemas.openxmlformats.org/officeDocument/2006/custom-properties" xmlns:vt="http://schemas.openxmlformats.org/officeDocument/2006/docPropsVTypes"/>
</file>