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confirmation-rule test — waiting for a second bearish call is not distinguishable from acting at once or holding</w:t>
      </w:r>
    </w:p>
    <w:p>
      <w:r>
        <w:rPr>
          <w:b/>
        </w:rPr>
        <w:t>Run:</w:t>
      </w:r>
      <w:r>
        <w:t xml:space="preserve"> </w:t>
      </w:r>
      <w:r>
        <w:rPr>
          <w:rFonts w:ascii="Consolas" w:hAnsi="Consolas"/>
          <w:sz w:val="19"/>
        </w:rPr>
        <w:t>confirmation-rule-test</w:t>
      </w:r>
      <w:r>
        <w:t xml:space="preserve"> · </w:t>
      </w:r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sweep/db-corpus-baseline</w:t>
      </w:r>
      <w:r>
        <w:t xml:space="preserve"> · </w:t>
      </w:r>
      <w:r>
        <w:rPr>
          <w:b/>
        </w:rPr>
        <w:t>Cost: $0.</w:t>
      </w:r>
      <w:r>
        <w:t xml:space="preserve"> No model calls, no API spend, no DB writes, no cache refresh, holdout untouched, </w:t>
      </w:r>
      <w:r>
        <w:rPr>
          <w:rFonts w:ascii="Consolas" w:hAnsi="Consolas"/>
          <w:sz w:val="19"/>
        </w:rPr>
        <w:t>analysis/analyst_direct_scorer.py</w:t>
      </w:r>
      <w:r>
        <w:t xml:space="preserve"> unmodified.</w:t>
      </w:r>
    </w:p>
    <w:p>
      <w:r>
        <w:rPr>
          <w:b/>
        </w:rPr>
        <w:t>Status: complete.</w:t>
      </w:r>
      <w:r>
        <w:t xml:space="preserve"> All four strategies, both splits and the pooled figures, three follow-up groups.</w:t>
      </w:r>
    </w:p>
    <w:p>
      <w:pPr>
        <w:pStyle w:val="Heading1"/>
      </w:pPr>
      <w:r>
        <w:t>Read this first: the price data for one company is corrupt, and it makes the prompt's "4 points" figure disappear</w:t>
      </w:r>
    </w:p>
    <w:p>
      <w:r>
        <w:rPr>
          <w:b/>
        </w:rPr>
        <w:t>PARA's price series in `analysis/data/corpus_v2/scorer_price_cache_v1.json` is wrong.</w:t>
      </w:r>
      <w:r>
        <w:t xml:space="preserve"> It reads </w:t>
      </w:r>
      <w:r>
        <w:rPr>
          <w:b/>
        </w:rPr>
        <w:t>$106,000 in November 2023, $3,870 in April 2024, $212 in May 2025 and $36 in November 2025</w:t>
      </w:r>
      <w:r>
        <w:t xml:space="preserve">. Paramount never traded near those levels. The series decays smoothly from about $100,000 to about $1 over the corpus. Any six-month return computed on it is a fake loss of 50% to 100%. I screened every ticker in the corpus for absurd price levels. </w:t>
      </w:r>
      <w:r>
        <w:rPr>
          <w:b/>
        </w:rPr>
        <w:t>PARA is the only one.</w:t>
      </w:r>
      <w:r>
        <w:t xml:space="preserve"> (FRC and SUNW also go to zero, but those were real failures.) I did not touch the cache, per the standing rule.</w:t>
      </w:r>
    </w:p>
    <w:p>
      <w:r>
        <w:rPr>
          <w:b/>
        </w:rPr>
        <w:t>Why it matters here.</w:t>
      </w:r>
      <w:r>
        <w:t xml:space="preserve"> The prompt's premise that a flagged stock lags the S&amp;P by about 4 points is driven by this error. PARA has 10 bearish calls with a following call in this run. Excluding 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pooled, 179 cases → 169 without PARA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with PARA (as the prompt specified)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without PARA (my sensitivity)</w:t>
            </w:r>
          </w:p>
        </w:tc>
      </w:tr>
      <w:tr>
        <w:tc>
          <w:tcPr>
            <w:tcW w:type="dxa" w:w="2880"/>
          </w:tcPr>
          <w:p>
            <w:r/>
            <w:r>
              <w:t>A. Hold, average benchmark-relative return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−4.1</w:t>
            </w:r>
            <w:r>
              <w:t xml:space="preserve"> [−16.1, 6.5]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</w:t>
            </w:r>
            <w:r>
              <w:t xml:space="preserve"> [−8.7, 8.7]</w:t>
            </w:r>
          </w:p>
        </w:tc>
      </w:tr>
      <w:tr>
        <w:tc>
          <w:tcPr>
            <w:tcW w:type="dxa" w:w="2880"/>
          </w:tcPr>
          <w:p>
            <w:r/>
            <w:r>
              <w:t>Loss avoided by selling at once</w:t>
            </w:r>
          </w:p>
        </w:tc>
        <w:tc>
          <w:tcPr>
            <w:tcW w:type="dxa" w:w="2880"/>
          </w:tcPr>
          <w:p>
            <w:r/>
            <w:r>
              <w:t>+4.1 [−6.5, 16.1]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</w:t>
            </w:r>
            <w:r>
              <w:t xml:space="preserve"> [−8.7, 8.7]</w:t>
            </w:r>
          </w:p>
        </w:tc>
      </w:tr>
      <w:tr>
        <w:tc>
          <w:tcPr>
            <w:tcW w:type="dxa" w:w="2880"/>
          </w:tcPr>
          <w:p>
            <w:r/>
            <w:r>
              <w:t>Cost of waiting, before any decision</w:t>
            </w:r>
          </w:p>
        </w:tc>
        <w:tc>
          <w:tcPr>
            <w:tcW w:type="dxa" w:w="2880"/>
          </w:tcPr>
          <w:p>
            <w:r/>
            <w:r>
              <w:t>−3.6 [−10.8, 3.3]</w:t>
            </w:r>
          </w:p>
        </w:tc>
        <w:tc>
          <w:tcPr>
            <w:tcW w:type="dxa" w:w="2880"/>
          </w:tcPr>
          <w:p>
            <w:r/>
            <w:r>
              <w:t>−1.2 [−6.8, 4.7]</w:t>
            </w:r>
          </w:p>
        </w:tc>
      </w:tr>
    </w:tbl>
    <w:p/>
    <w:p>
      <w:r>
        <w:t xml:space="preserve">Sources: </w:t>
      </w:r>
      <w:r>
        <w:rPr>
          <w:rFonts w:ascii="Consolas" w:hAnsi="Consolas"/>
          <w:sz w:val="19"/>
        </w:rPr>
        <w:t>analysis/data/run_state/confirmation-rule-test/cells.jsonl</w:t>
      </w:r>
      <w:r>
        <w:t xml:space="preserve"> (with PARA) and </w:t>
      </w:r>
      <w:r>
        <w:rPr>
          <w:rFonts w:ascii="Consolas" w:hAnsi="Consolas"/>
          <w:sz w:val="19"/>
        </w:rPr>
        <w:t>nopara.json</w:t>
      </w:r>
      <w:r>
        <w:t xml:space="preserve"> (without). </w:t>
      </w:r>
      <w:r>
        <w:rPr>
          <w:b/>
        </w:rPr>
        <w:t>Every figure below is reported both ways.</w:t>
      </w:r>
      <w:r>
        <w:t xml:space="preserve"> With-PARA is the run the prompt specified. Without-PARA is a sensitivity I added after finding the defect, and the better guide to what the analyst's calls really did.</w:t>
      </w:r>
    </w:p>
    <w:p>
      <w:r>
        <w:rPr>
          <w:b/>
        </w:rPr>
        <w:t>How far the defect reaches into earlier work.</w:t>
      </w:r>
      <w:r>
        <w:t xml:space="preserve"> I re-ran the v6 bearish edge with PARA excluded (</w:t>
      </w:r>
      <w:r>
        <w:rPr>
          <w:rFonts w:ascii="Consolas" w:hAnsi="Consolas"/>
          <w:sz w:val="19"/>
        </w:rPr>
        <w:t>r4check.txt</w:t>
      </w:r>
      <w:r>
        <w:t xml:space="preserve">, </w:t>
      </w:r>
      <w:r>
        <w:rPr>
          <w:rFonts w:ascii="Consolas" w:hAnsi="Consolas"/>
          <w:sz w:val="19"/>
        </w:rPr>
        <w:t>nopara.json</w:t>
      </w:r>
      <w:r>
        <w:t>). It moves modestly, because those measures count calls that fall into a category and PARA's fake losses only push more of PARA's calls into the "lagged" category: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bearish edge, points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with PARA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without PARA</w:t>
            </w:r>
          </w:p>
        </w:tc>
      </w:tr>
      <w:tr>
        <w:tc>
          <w:tcPr>
            <w:tcW w:type="dxa" w:w="2880"/>
          </w:tcPr>
          <w:p>
            <w:r/>
            <w:r>
              <w:t>182 days, as-is entry, pooled (the +13.3 baseline)</w:t>
            </w:r>
          </w:p>
        </w:tc>
        <w:tc>
          <w:tcPr>
            <w:tcW w:type="dxa" w:w="2880"/>
          </w:tcPr>
          <w:p>
            <w:r/>
            <w:r>
              <w:t>+13.3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+12.3</w:t>
            </w:r>
          </w:p>
        </w:tc>
      </w:tr>
      <w:tr>
        <w:tc>
          <w:tcPr>
            <w:tcW w:type="dxa" w:w="2880"/>
          </w:tcPr>
          <w:p>
            <w:r/>
            <w:r>
              <w:t>182 days, as-is entry, train</w:t>
            </w:r>
          </w:p>
        </w:tc>
        <w:tc>
          <w:tcPr>
            <w:tcW w:type="dxa" w:w="2880"/>
          </w:tcPr>
          <w:p>
            <w:r/>
            <w:r>
              <w:t>+15.3</w:t>
            </w:r>
          </w:p>
        </w:tc>
        <w:tc>
          <w:tcPr>
            <w:tcW w:type="dxa" w:w="2880"/>
          </w:tcPr>
          <w:p>
            <w:r/>
            <w:r>
              <w:t>+13.4</w:t>
            </w:r>
          </w:p>
        </w:tc>
      </w:tr>
      <w:tr>
        <w:tc>
          <w:tcPr>
            <w:tcW w:type="dxa" w:w="2880"/>
          </w:tcPr>
          <w:p>
            <w:r/>
            <w:r>
              <w:t>30 days, as-is entry, train (R4's headline)</w:t>
            </w:r>
          </w:p>
        </w:tc>
        <w:tc>
          <w:tcPr>
            <w:tcW w:type="dxa" w:w="2880"/>
          </w:tcPr>
          <w:p>
            <w:r/>
            <w:r>
              <w:t>+23.2</w:t>
            </w:r>
          </w:p>
        </w:tc>
        <w:tc>
          <w:tcPr>
            <w:tcW w:type="dxa" w:w="2880"/>
          </w:tcPr>
          <w:p>
            <w:r/>
            <w:r>
              <w:t>+21.4</w:t>
            </w:r>
          </w:p>
        </w:tc>
      </w:tr>
      <w:tr>
        <w:tc>
          <w:tcPr>
            <w:tcW w:type="dxa" w:w="2880"/>
          </w:tcPr>
          <w:p>
            <w:r/>
            <w:r>
              <w:t>30 days, tradeable entry, train (R4b)</w:t>
            </w:r>
          </w:p>
        </w:tc>
        <w:tc>
          <w:tcPr>
            <w:tcW w:type="dxa" w:w="2880"/>
          </w:tcPr>
          <w:p>
            <w:r/>
            <w:r>
              <w:t>+18.7</w:t>
            </w:r>
          </w:p>
        </w:tc>
        <w:tc>
          <w:tcPr>
            <w:tcW w:type="dxa" w:w="2880"/>
          </w:tcPr>
          <w:p>
            <w:r/>
            <w:r>
              <w:t>+17.3</w:t>
            </w:r>
          </w:p>
        </w:tc>
      </w:tr>
      <w:tr>
        <w:tc>
          <w:tcPr>
            <w:tcW w:type="dxa" w:w="2880"/>
          </w:tcPr>
          <w:p>
            <w:r/>
            <w:r>
              <w:t>10 days, tradeable entry, train</w:t>
            </w:r>
          </w:p>
        </w:tc>
        <w:tc>
          <w:tcPr>
            <w:tcW w:type="dxa" w:w="2880"/>
          </w:tcPr>
          <w:p>
            <w:r/>
            <w:r>
              <w:t>+16.2</w:t>
            </w:r>
          </w:p>
        </w:tc>
        <w:tc>
          <w:tcPr>
            <w:tcW w:type="dxa" w:w="2880"/>
          </w:tcPr>
          <w:p>
            <w:r/>
            <w:r>
              <w:t>+14.2</w:t>
            </w:r>
          </w:p>
        </w:tc>
      </w:tr>
      <w:tr>
        <w:tc>
          <w:tcPr>
            <w:tcW w:type="dxa" w:w="2880"/>
          </w:tcPr>
          <w:p>
            <w:r/>
            <w:r>
              <w:t>any horizon on tune</w:t>
            </w:r>
          </w:p>
        </w:tc>
        <w:tc>
          <w:tcPr>
            <w:tcW w:type="dxa" w:w="2880"/>
          </w:tcPr>
          <w:p>
            <w:r/>
            <w:r>
              <w:t>unchanged</w:t>
            </w:r>
          </w:p>
        </w:tc>
        <w:tc>
          <w:tcPr>
            <w:tcW w:type="dxa" w:w="2880"/>
          </w:tcPr>
          <w:p>
            <w:r/>
            <w:r>
              <w:t>unchanged (PARA is train only)</w:t>
            </w:r>
          </w:p>
        </w:tc>
      </w:tr>
    </w:tbl>
    <w:p/>
    <w:p>
      <w:r>
        <w:rPr>
          <w:b/>
        </w:rPr>
        <w:t>Previously published numbers this touches.</w:t>
      </w:r>
      <w:r>
        <w:t xml:space="preserve"> The +13.3 baseline is </w:t>
      </w:r>
      <w:r>
        <w:rPr>
          <w:b/>
        </w:rPr>
        <w:t>+12.3</w:t>
      </w:r>
      <w:r>
        <w:t xml:space="preserve"> without PARA; the train figures in R4 and R4b are 1 to 3 points high. </w:t>
      </w:r>
      <w:r>
        <w:rPr>
          <w:b/>
        </w:rPr>
        <w:t>No conclusion in R4 or R4b changes.</w:t>
      </w:r>
      <w:r>
        <w:t xml:space="preserve"> The shapes and the train-versus-tune splits are the same. The 4-point figure quoted in this run's own prompt (and attributed to the entry-price test's 90-day figures) is the one that does not survive; I have not traced its origin further. </w:t>
      </w:r>
      <w:r>
        <w:rPr>
          <w:b/>
        </w:rPr>
        <w:t>PARA's series should be repaired or PARA excluded before the next round. That decision is not mine.</w:t>
      </w:r>
    </w:p>
    <w:p>
      <w:pPr>
        <w:pStyle w:val="Heading1"/>
      </w:pPr>
      <w:r>
        <w:t>§0 Defined terms</w:t>
      </w:r>
    </w:p>
    <w:p>
      <w:pPr>
        <w:pStyle w:val="ListBullet"/>
      </w:pPr>
      <w:r>
        <w:rPr>
          <w:b/>
        </w:rPr>
        <w:t>Bearish call.</w:t>
      </w:r>
      <w:r>
        <w:t xml:space="preserve"> The analyst said Trim or Exit on that earnings call.</w:t>
      </w:r>
    </w:p>
    <w:p>
      <w:pPr>
        <w:pStyle w:val="ListBullet"/>
      </w:pPr>
      <w:r>
        <w:rPr>
          <w:b/>
        </w:rPr>
        <w:t>Benchmark-relative return.</w:t>
      </w:r>
      <w:r>
        <w:t xml:space="preserve"> The stock's return minus the S&amp;P 500's (SPY) return over the same dates. Written in percent.</w:t>
      </w:r>
    </w:p>
    <w:p>
      <w:pPr>
        <w:pStyle w:val="ListBullet"/>
      </w:pPr>
      <w:r>
        <w:rPr>
          <w:b/>
        </w:rPr>
        <w:t>Tradeable entry.</w:t>
      </w:r>
      <w:r>
        <w:t xml:space="preserve"> Every entry and exit price is the close of the first trading day *after* the call date. The entry-price test (R4b) showed that using the call-date close credits a strategy with the overnight announcement move, which nobody can trade.</w:t>
      </w:r>
    </w:p>
    <w:p>
      <w:pPr>
        <w:pStyle w:val="ListBullet"/>
      </w:pPr>
      <w:r>
        <w:rPr>
          <w:b/>
        </w:rPr>
        <w:t>Confirmed pair.</w:t>
      </w:r>
      <w:r>
        <w:t xml:space="preserve"> A bearish call followed by a second bearish call from the same company, at its next call in the corpus.</w:t>
      </w:r>
    </w:p>
    <w:p>
      <w:pPr>
        <w:pStyle w:val="ListBullet"/>
      </w:pPr>
      <w:r>
        <w:rPr>
          <w:b/>
        </w:rPr>
        <w:t>The four strategies.</w:t>
      </w:r>
      <w:r>
        <w:t xml:space="preserve"> </w:t>
      </w:r>
      <w:r>
        <w:rPr>
          <w:b/>
        </w:rPr>
        <w:t>A, Hold:</w:t>
      </w:r>
      <w:r>
        <w:t xml:space="preserve"> do nothing; return from the day after the bearish call to 182 days after it. </w:t>
      </w:r>
      <w:r>
        <w:rPr>
          <w:b/>
        </w:rPr>
        <w:t>B, Sell now:</w:t>
      </w:r>
      <w:r>
        <w:t xml:space="preserve"> exit the day after the bearish call; you keep 0 relative to the S&amp;P from then on, and "loss avoided" is minus A. </w:t>
      </w:r>
      <w:r>
        <w:rPr>
          <w:b/>
        </w:rPr>
        <w:t>C, Wait and confirm:</w:t>
      </w:r>
      <w:r>
        <w:t xml:space="preserve"> hold until the day after the next call; if that call is bearish, exit then, otherwise keep holding to 182 days from the *original* call. </w:t>
      </w:r>
      <w:r>
        <w:rPr>
          <w:b/>
        </w:rPr>
        <w:t>D, Wait and always exit:</w:t>
      </w:r>
      <w:r>
        <w:t xml:space="preserve"> hold to the next call, then exit whatever it says.</w:t>
      </w:r>
    </w:p>
    <w:p>
      <w:pPr>
        <w:pStyle w:val="ListBullet"/>
      </w:pPr>
      <w:r>
        <w:rPr>
          <w:b/>
        </w:rPr>
        <w:t>Cost of waiting.</w:t>
      </w:r>
      <w:r>
        <w:t xml:space="preserve"> The average benchmark-relative return between the day after the bearish call and the day after the next call, i.e. what you eat before any decision is made.</w:t>
      </w:r>
    </w:p>
    <w:p>
      <w:pPr>
        <w:pStyle w:val="ListBullet"/>
      </w:pPr>
      <w:r>
        <w:rPr>
          <w:b/>
        </w:rPr>
        <w:t>Ticker-block bootstrap.</w:t>
      </w:r>
      <w:r>
        <w:t xml:space="preserve"> To get a 95% range I redraw the set of companies 2,000 times with replacement (seed 11) and recompute the average each time. I redraw whole companies, not single calls, because one company's calls are not independent. Paired differences use the same redrawn companies.</w:t>
      </w:r>
    </w:p>
    <w:p>
      <w:pPr>
        <w:pStyle w:val="Heading1"/>
      </w:pPr>
      <w:r>
        <w:t>Lead-with sentence</w:t>
      </w:r>
    </w:p>
    <w:p>
      <w:r>
        <w:t xml:space="preserve">Of </w:t>
      </w:r>
      <w:r>
        <w:rPr>
          <w:b/>
        </w:rPr>
        <w:t>179</w:t>
      </w:r>
      <w:r>
        <w:t xml:space="preserve"> bearish calls with a following call, </w:t>
      </w:r>
      <w:r>
        <w:rPr>
          <w:b/>
        </w:rPr>
        <w:t>78</w:t>
      </w:r>
      <w:r>
        <w:t xml:space="preserve"> were followed by a second bearish call. Doing nothing returned </w:t>
      </w:r>
      <w:r>
        <w:rPr>
          <w:b/>
        </w:rPr>
        <w:t>−4.1%</w:t>
      </w:r>
      <w:r>
        <w:t xml:space="preserve"> against the S&amp;P over six months (</w:t>
      </w:r>
      <w:r>
        <w:rPr>
          <w:b/>
        </w:rPr>
        <w:t>0.0%</w:t>
      </w:r>
      <w:r>
        <w:t xml:space="preserve"> without the corrupt PARA series). Selling the day after the first bearish call avoided </w:t>
      </w:r>
      <w:r>
        <w:rPr>
          <w:b/>
        </w:rPr>
        <w:t>4.1 points</w:t>
      </w:r>
      <w:r>
        <w:t xml:space="preserve"> (</w:t>
      </w:r>
      <w:r>
        <w:rPr>
          <w:b/>
        </w:rPr>
        <w:t>0.0</w:t>
      </w:r>
      <w:r>
        <w:t xml:space="preserve">). Waiting for the next call and exiting only on a second bearish call returned </w:t>
      </w:r>
      <w:r>
        <w:rPr>
          <w:b/>
        </w:rPr>
        <w:t>−2.1%</w:t>
      </w:r>
      <w:r>
        <w:t xml:space="preserve"> (</w:t>
      </w:r>
      <w:r>
        <w:rPr>
          <w:b/>
        </w:rPr>
        <w:t>+0.5%</w:t>
      </w:r>
      <w:r>
        <w:t xml:space="preserve">). Waiting cost </w:t>
      </w:r>
      <w:r>
        <w:rPr>
          <w:b/>
        </w:rPr>
        <w:t>3.6 points</w:t>
      </w:r>
      <w:r>
        <w:t xml:space="preserve"> in the quarter before the decision was made (</w:t>
      </w:r>
      <w:r>
        <w:rPr>
          <w:b/>
        </w:rPr>
        <w:t>1.2</w:t>
      </w:r>
      <w:r>
        <w:t>). None of these strategy differences is distinguishable from zero.</w:t>
      </w:r>
    </w:p>
    <w:p>
      <w:pPr>
        <w:pStyle w:val="Heading1"/>
      </w:pPr>
      <w:r>
        <w:t>1. The population — the prompt's counts are right</w:t>
      </w:r>
    </w:p>
    <w:p>
      <w:r>
        <w:t xml:space="preserve">Re-derived, not copied: 187 bearish calls (103 train, 84 tune, WOLF and SPWR excluded); 8 are a company's last call, leaving </w:t>
      </w:r>
      <w:r>
        <w:rPr>
          <w:b/>
        </w:rPr>
        <w:t>179 cases: 100 train, 79 tune</w:t>
      </w:r>
      <w:r>
        <w:t xml:space="preserve">. Next call was bearish </w:t>
      </w:r>
      <w:r>
        <w:rPr>
          <w:b/>
        </w:rPr>
        <w:t>78</w:t>
      </w:r>
      <w:r>
        <w:t xml:space="preserve">, neutral </w:t>
      </w:r>
      <w:r>
        <w:rPr>
          <w:b/>
        </w:rPr>
        <w:t>91</w:t>
      </w:r>
      <w:r>
        <w:t xml:space="preserve">, bullish </w:t>
      </w:r>
      <w:r>
        <w:rPr>
          <w:b/>
        </w:rPr>
        <w:t>10</w:t>
      </w:r>
      <w:r>
        <w:t>. All prices existed for all 179. One case (JKS, next call 202 days later) had its exit clipped to the 182-day end. The bullish arm has 10 cases from 9 companies.</w:t>
      </w:r>
    </w:p>
    <w:p>
      <w:pPr>
        <w:pStyle w:val="Heading1"/>
      </w:pPr>
      <w:r>
        <w:t>2. The four strategies</w:t>
      </w:r>
    </w:p>
    <w:p>
      <w:r>
        <w:t xml:space="preserve">Average benchmark-relative return, in percent. Brackets are 95% ticker-block ranges. Source: </w:t>
      </w:r>
      <w:r>
        <w:rPr>
          <w:rFonts w:ascii="Consolas" w:hAnsi="Consolas"/>
          <w:sz w:val="19"/>
        </w:rPr>
        <w:t>cells.jsonl</w:t>
      </w:r>
      <w:r>
        <w:t xml:space="preserve">; also </w:t>
      </w:r>
      <w:r>
        <w:rPr>
          <w:rFonts w:ascii="Consolas" w:hAnsi="Consolas"/>
          <w:sz w:val="19"/>
        </w:rPr>
        <w:t>tables.txt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split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cases (companies)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A. Hold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B. Sell now</w:t>
            </w:r>
            <w:r>
              <w:rPr>
                <w:b/>
              </w:rPr>
              <w:t xml:space="preserve"> (loss avoided)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C. Wait and confirm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D. Wait, always exit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cost of waiting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share ending negative (A)</w:t>
            </w:r>
          </w:p>
        </w:tc>
      </w:tr>
      <w:tr>
        <w:tc>
          <w:tcPr>
            <w:tcW w:type="dxa" w:w="960"/>
          </w:tcPr>
          <w:p>
            <w:r/>
            <w:r>
              <w:t>with PARA</w:t>
            </w:r>
          </w:p>
        </w:tc>
        <w:tc>
          <w:tcPr>
            <w:tcW w:type="dxa" w:w="960"/>
          </w:tcPr>
          <w:p>
            <w:r/>
            <w:r>
              <w:t>train</w:t>
            </w:r>
          </w:p>
        </w:tc>
        <w:tc>
          <w:tcPr>
            <w:tcW w:type="dxa" w:w="960"/>
          </w:tcPr>
          <w:p>
            <w:r/>
            <w:r>
              <w:t>100 (30)</w:t>
            </w:r>
          </w:p>
        </w:tc>
        <w:tc>
          <w:tcPr>
            <w:tcW w:type="dxa" w:w="960"/>
          </w:tcPr>
          <w:p>
            <w:r/>
            <w:r>
              <w:t>−7.2 [−25.8, 9.8]</w:t>
            </w:r>
          </w:p>
        </w:tc>
        <w:tc>
          <w:tcPr>
            <w:tcW w:type="dxa" w:w="960"/>
          </w:tcPr>
          <w:p>
            <w:r/>
            <w:r>
              <w:t>0 (+7.2 [−9.8, 25.8])</w:t>
            </w:r>
          </w:p>
        </w:tc>
        <w:tc>
          <w:tcPr>
            <w:tcW w:type="dxa" w:w="960"/>
          </w:tcPr>
          <w:p>
            <w:r/>
            <w:r>
              <w:t>−2.5 [−15.9, 10.3]</w:t>
            </w:r>
          </w:p>
        </w:tc>
        <w:tc>
          <w:tcPr>
            <w:tcW w:type="dxa" w:w="960"/>
          </w:tcPr>
          <w:p>
            <w:r/>
            <w:r>
              <w:t>−6.3 [−17.5, 3.9]</w:t>
            </w:r>
          </w:p>
        </w:tc>
        <w:tc>
          <w:tcPr>
            <w:tcW w:type="dxa" w:w="960"/>
          </w:tcPr>
          <w:p>
            <w:r/>
            <w:r>
              <w:t>−6.3 [−17.5, 3.9]</w:t>
            </w:r>
          </w:p>
        </w:tc>
        <w:tc>
          <w:tcPr>
            <w:tcW w:type="dxa" w:w="960"/>
          </w:tcPr>
          <w:p>
            <w:r/>
            <w:r>
              <w:t>64%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t>tune</w:t>
            </w:r>
          </w:p>
        </w:tc>
        <w:tc>
          <w:tcPr>
            <w:tcW w:type="dxa" w:w="960"/>
          </w:tcPr>
          <w:p>
            <w:r/>
            <w:r>
              <w:t>79 (27)</w:t>
            </w:r>
          </w:p>
        </w:tc>
        <w:tc>
          <w:tcPr>
            <w:tcW w:type="dxa" w:w="960"/>
          </w:tcPr>
          <w:p>
            <w:r/>
            <w:r>
              <w:t>−0.1 [−8.4, 11.0]</w:t>
            </w:r>
          </w:p>
        </w:tc>
        <w:tc>
          <w:tcPr>
            <w:tcW w:type="dxa" w:w="960"/>
          </w:tcPr>
          <w:p>
            <w:r/>
            <w:r>
              <w:t>0 (+0.1 [−11.0, 8.4])</w:t>
            </w:r>
          </w:p>
        </w:tc>
        <w:tc>
          <w:tcPr>
            <w:tcW w:type="dxa" w:w="960"/>
          </w:tcPr>
          <w:p>
            <w:r/>
            <w:r>
              <w:t>−1.5 [−7.5, 7.6]</w:t>
            </w:r>
          </w:p>
        </w:tc>
        <w:tc>
          <w:tcPr>
            <w:tcW w:type="dxa" w:w="960"/>
          </w:tcPr>
          <w:p>
            <w:r/>
            <w:r>
              <w:t>−0.2 [−6.6, 8.6]</w:t>
            </w:r>
          </w:p>
        </w:tc>
        <w:tc>
          <w:tcPr>
            <w:tcW w:type="dxa" w:w="960"/>
          </w:tcPr>
          <w:p>
            <w:r/>
            <w:r>
              <w:t>−0.2 [−6.6, 8.6]</w:t>
            </w:r>
          </w:p>
        </w:tc>
        <w:tc>
          <w:tcPr>
            <w:tcW w:type="dxa" w:w="960"/>
          </w:tcPr>
          <w:p>
            <w:r/>
            <w:r>
              <w:t>58%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t>pooled</w:t>
            </w:r>
          </w:p>
        </w:tc>
        <w:tc>
          <w:tcPr>
            <w:tcW w:type="dxa" w:w="960"/>
          </w:tcPr>
          <w:p>
            <w:r/>
            <w:r>
              <w:t>179 (57)</w:t>
            </w:r>
          </w:p>
        </w:tc>
        <w:tc>
          <w:tcPr>
            <w:tcW w:type="dxa" w:w="960"/>
          </w:tcPr>
          <w:p>
            <w:r/>
            <w:r>
              <w:t>−4.1 [−16.1, 6.5]</w:t>
            </w:r>
          </w:p>
        </w:tc>
        <w:tc>
          <w:tcPr>
            <w:tcW w:type="dxa" w:w="960"/>
          </w:tcPr>
          <w:p>
            <w:r/>
            <w:r>
              <w:t>0 (+4.1 [−6.5, 16.1])</w:t>
            </w:r>
          </w:p>
        </w:tc>
        <w:tc>
          <w:tcPr>
            <w:tcW w:type="dxa" w:w="960"/>
          </w:tcPr>
          <w:p>
            <w:r/>
            <w:r>
              <w:t>−2.1 [−10.4, 6.0]</w:t>
            </w:r>
          </w:p>
        </w:tc>
        <w:tc>
          <w:tcPr>
            <w:tcW w:type="dxa" w:w="960"/>
          </w:tcPr>
          <w:p>
            <w:r/>
            <w:r>
              <w:t>−3.6 [−10.8, 3.3]</w:t>
            </w:r>
          </w:p>
        </w:tc>
        <w:tc>
          <w:tcPr>
            <w:tcW w:type="dxa" w:w="960"/>
          </w:tcPr>
          <w:p>
            <w:r/>
            <w:r>
              <w:t>−3.6 [−10.8, 3.3]</w:t>
            </w:r>
          </w:p>
        </w:tc>
        <w:tc>
          <w:tcPr>
            <w:tcW w:type="dxa" w:w="960"/>
          </w:tcPr>
          <w:p>
            <w:r/>
            <w:r>
              <w:t>61.5%</w:t>
            </w:r>
          </w:p>
        </w:tc>
      </w:tr>
      <w:tr>
        <w:tc>
          <w:tcPr>
            <w:tcW w:type="dxa" w:w="960"/>
          </w:tcPr>
          <w:p>
            <w:r/>
            <w:r>
              <w:t>without PARA</w:t>
            </w:r>
          </w:p>
        </w:tc>
        <w:tc>
          <w:tcPr>
            <w:tcW w:type="dxa" w:w="960"/>
          </w:tcPr>
          <w:p>
            <w:r/>
            <w:r>
              <w:t>train</w:t>
            </w:r>
          </w:p>
        </w:tc>
        <w:tc>
          <w:tcPr>
            <w:tcW w:type="dxa" w:w="960"/>
          </w:tcPr>
          <w:p>
            <w:r/>
            <w:r>
              <w:t>90 (29)</w:t>
            </w:r>
          </w:p>
        </w:tc>
        <w:tc>
          <w:tcPr>
            <w:tcW w:type="dxa" w:w="960"/>
          </w:tcPr>
          <w:p>
            <w:r/>
            <w:r>
              <w:t>+0.2 [−14.7, 12.7]</w:t>
            </w:r>
          </w:p>
        </w:tc>
        <w:tc>
          <w:tcPr>
            <w:tcW w:type="dxa" w:w="960"/>
          </w:tcPr>
          <w:p>
            <w:r/>
            <w:r>
              <w:t>0 (−0.2 [−12.7, 14.7])</w:t>
            </w:r>
          </w:p>
        </w:tc>
        <w:tc>
          <w:tcPr>
            <w:tcW w:type="dxa" w:w="960"/>
          </w:tcPr>
          <w:p>
            <w:r/>
            <w:r>
              <w:t>+2.3</w:t>
            </w:r>
          </w:p>
        </w:tc>
        <w:tc>
          <w:tcPr>
            <w:tcW w:type="dxa" w:w="960"/>
          </w:tcPr>
          <w:p>
            <w:r/>
            <w:r>
              <w:t>−2.1</w:t>
            </w:r>
          </w:p>
        </w:tc>
        <w:tc>
          <w:tcPr>
            <w:tcW w:type="dxa" w:w="960"/>
          </w:tcPr>
          <w:p>
            <w:r/>
            <w:r>
              <w:t>−2.1 [−11.2, 5.7]</w:t>
            </w:r>
          </w:p>
        </w:tc>
        <w:tc>
          <w:tcPr>
            <w:tcW w:type="dxa" w:w="960"/>
          </w:tcPr>
          <w:p>
            <w:r/>
            <w:r>
              <w:t>60%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t>tune</w:t>
            </w:r>
          </w:p>
        </w:tc>
        <w:tc>
          <w:tcPr>
            <w:tcW w:type="dxa" w:w="960"/>
          </w:tcPr>
          <w:p>
            <w:r/>
            <w:r>
              <w:t>79 (27)</w:t>
            </w:r>
          </w:p>
        </w:tc>
        <w:tc>
          <w:tcPr>
            <w:tcW w:type="dxa" w:w="960"/>
          </w:tcPr>
          <w:p>
            <w:r/>
            <w:r>
              <w:t>−0.1 [−8.4, 11.0]</w:t>
            </w:r>
          </w:p>
        </w:tc>
        <w:tc>
          <w:tcPr>
            <w:tcW w:type="dxa" w:w="960"/>
          </w:tcPr>
          <w:p>
            <w:r/>
            <w:r>
              <w:t>0 (+0.1)</w:t>
            </w:r>
          </w:p>
        </w:tc>
        <w:tc>
          <w:tcPr>
            <w:tcW w:type="dxa" w:w="960"/>
          </w:tcPr>
          <w:p>
            <w:r/>
            <w:r>
              <w:t>−1.5</w:t>
            </w:r>
          </w:p>
        </w:tc>
        <w:tc>
          <w:tcPr>
            <w:tcW w:type="dxa" w:w="960"/>
          </w:tcPr>
          <w:p>
            <w:r/>
            <w:r>
              <w:t>−0.2</w:t>
            </w:r>
          </w:p>
        </w:tc>
        <w:tc>
          <w:tcPr>
            <w:tcW w:type="dxa" w:w="960"/>
          </w:tcPr>
          <w:p>
            <w:r/>
            <w:r>
              <w:t>−0.2</w:t>
            </w:r>
          </w:p>
        </w:tc>
        <w:tc>
          <w:tcPr>
            <w:tcW w:type="dxa" w:w="960"/>
          </w:tcPr>
          <w:p>
            <w:r/>
            <w:r>
              <w:t>58%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  <w:r>
              <w:t>pooled</w:t>
            </w:r>
          </w:p>
        </w:tc>
        <w:tc>
          <w:tcPr>
            <w:tcW w:type="dxa" w:w="960"/>
          </w:tcPr>
          <w:p>
            <w:r/>
            <w:r>
              <w:t>169 (56)</w:t>
            </w:r>
          </w:p>
        </w:tc>
        <w:tc>
          <w:tcPr>
            <w:tcW w:type="dxa" w:w="960"/>
          </w:tcPr>
          <w:p>
            <w:r/>
            <w:r>
              <w:t>0.0 [−8.7, 8.7]</w:t>
            </w:r>
          </w:p>
        </w:tc>
        <w:tc>
          <w:tcPr>
            <w:tcW w:type="dxa" w:w="960"/>
          </w:tcPr>
          <w:p>
            <w:r/>
            <w:r>
              <w:t>0 (0.0 [−8.7, 8.7])</w:t>
            </w:r>
          </w:p>
        </w:tc>
        <w:tc>
          <w:tcPr>
            <w:tcW w:type="dxa" w:w="960"/>
          </w:tcPr>
          <w:p>
            <w:r/>
            <w:r>
              <w:t>+0.5</w:t>
            </w:r>
          </w:p>
        </w:tc>
        <w:tc>
          <w:tcPr>
            <w:tcW w:type="dxa" w:w="960"/>
          </w:tcPr>
          <w:p>
            <w:r/>
            <w:r>
              <w:t>−1.2</w:t>
            </w:r>
          </w:p>
        </w:tc>
        <w:tc>
          <w:tcPr>
            <w:tcW w:type="dxa" w:w="960"/>
          </w:tcPr>
          <w:p>
            <w:r/>
            <w:r>
              <w:t>−1.2 [−6.8, 4.7]</w:t>
            </w:r>
          </w:p>
        </w:tc>
        <w:tc>
          <w:tcPr>
            <w:tcW w:type="dxa" w:w="960"/>
          </w:tcPr>
          <w:p>
            <w:r/>
            <w:r>
              <w:t>59%</w:t>
            </w:r>
          </w:p>
        </w:tc>
      </w:tr>
    </w:tbl>
    <w:p/>
    <w:p>
      <w:r>
        <w:rPr>
          <w:b/>
        </w:rPr>
        <w:t>The decision quantities</w:t>
      </w:r>
      <w:r>
        <w:t xml:space="preserve"> (mean, paired range):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with PARA, pooled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without PARA, pooled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train / tune, with PARA</w:t>
            </w:r>
          </w:p>
        </w:tc>
      </w:tr>
      <w:tr>
        <w:tc>
          <w:tcPr>
            <w:tcW w:type="dxa" w:w="2160"/>
          </w:tcPr>
          <w:p>
            <w:r/>
            <w:r>
              <w:t>C − A (does confirming beat holding?)</w:t>
            </w:r>
          </w:p>
        </w:tc>
        <w:tc>
          <w:tcPr>
            <w:tcW w:type="dxa" w:w="2160"/>
          </w:tcPr>
          <w:p>
            <w:r/>
            <w:r>
              <w:t>+2.0 [−2.0, 6.3]</w:t>
            </w:r>
          </w:p>
        </w:tc>
        <w:tc>
          <w:tcPr>
            <w:tcW w:type="dxa" w:w="2160"/>
          </w:tcPr>
          <w:p>
            <w:r/>
            <w:r>
              <w:t>+0.5 [−2.8, 3.6]</w:t>
            </w:r>
          </w:p>
        </w:tc>
        <w:tc>
          <w:tcPr>
            <w:tcW w:type="dxa" w:w="2160"/>
          </w:tcPr>
          <w:p>
            <w:r/>
            <w:r>
              <w:t>+4.6 [−0.8, 10.9] / −1.4 [−6.7, 2.3]</w:t>
            </w:r>
          </w:p>
        </w:tc>
      </w:tr>
      <w:tr>
        <w:tc>
          <w:tcPr>
            <w:tcW w:type="dxa" w:w="2160"/>
          </w:tcPr>
          <w:p>
            <w:r/>
            <w:r>
              <w:t>C − B (does confirming beat selling at once?)</w:t>
            </w:r>
          </w:p>
        </w:tc>
        <w:tc>
          <w:tcPr>
            <w:tcW w:type="dxa" w:w="2160"/>
          </w:tcPr>
          <w:p>
            <w:r/>
            <w:r>
              <w:t>−2.1 [−10.4, 6.0]</w:t>
            </w:r>
          </w:p>
        </w:tc>
        <w:tc>
          <w:tcPr>
            <w:tcW w:type="dxa" w:w="2160"/>
          </w:tcPr>
          <w:p>
            <w:r/>
            <w:r>
              <w:t>+0.5 [−6.4, 7.5]</w:t>
            </w:r>
          </w:p>
        </w:tc>
        <w:tc>
          <w:tcPr>
            <w:tcW w:type="dxa" w:w="2160"/>
          </w:tcPr>
          <w:p>
            <w:r/>
            <w:r>
              <w:t>−2.5 [−15.9, 10.3] / −1.5 [−7.5, 7.6]</w:t>
            </w:r>
          </w:p>
        </w:tc>
      </w:tr>
    </w:tbl>
    <w:p/>
    <w:p>
      <w:r>
        <w:t xml:space="preserve">Every range spans zero. The share of flagged stocks that ended negative is 59% to 64% of cases, but the *average* return is close to zero: a lot of small losses, offset by a lot of gains, and a few collapses. </w:t>
      </w:r>
      <w:r>
        <w:rPr>
          <w:b/>
        </w:rPr>
        <w:t>The median flagged stock returned −8.8% with PARA and −7.7% without.</w:t>
      </w:r>
    </w:p>
    <w:p>
      <w:pPr>
        <w:pStyle w:val="Heading1"/>
      </w:pPr>
      <w:r>
        <w:t>3. The three-way split — this is where the confirmation rule earns its keep or does not</w:t>
      </w:r>
    </w:p>
    <w:p>
      <w:r>
        <w:t xml:space="preserve">Strategy C by what the next call said. Every figure is an average; brackets are ticker-block ranges. </w:t>
      </w:r>
      <w:r>
        <w:rPr>
          <w:b/>
        </w:rPr>
        <w:t>For the neutral and bullish groups C is identical to A by construction</w:t>
      </w:r>
      <w:r>
        <w:t xml:space="preserve"> (you keep holding), so C − A is exactly zero there. Only in the confirmed group does C differ.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next call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split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cases (companies)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A. Hold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C. Wait and confirm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cost of waiting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 − 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bearish</w:t>
            </w:r>
            <w:r>
              <w:t xml:space="preserve"> (confirmed)</w:t>
            </w:r>
          </w:p>
        </w:tc>
        <w:tc>
          <w:tcPr>
            <w:tcW w:type="dxa" w:w="1234"/>
          </w:tcPr>
          <w:p>
            <w:r/>
            <w:r>
              <w:t>train</w:t>
            </w:r>
          </w:p>
        </w:tc>
        <w:tc>
          <w:tcPr>
            <w:tcW w:type="dxa" w:w="1234"/>
          </w:tcPr>
          <w:p>
            <w:r/>
            <w:r>
              <w:t>45 (16)</w:t>
            </w:r>
          </w:p>
        </w:tc>
        <w:tc>
          <w:tcPr>
            <w:tcW w:type="dxa" w:w="1234"/>
          </w:tcPr>
          <w:p>
            <w:r/>
            <w:r>
              <w:t>−30.1 [−51.2, −6.5]</w:t>
            </w:r>
          </w:p>
        </w:tc>
        <w:tc>
          <w:tcPr>
            <w:tcW w:type="dxa" w:w="1234"/>
          </w:tcPr>
          <w:p>
            <w:r/>
            <w:r>
              <w:t>−19.8 [−30.4, −8.4]</w:t>
            </w:r>
          </w:p>
        </w:tc>
        <w:tc>
          <w:tcPr>
            <w:tcW w:type="dxa" w:w="1234"/>
          </w:tcPr>
          <w:p>
            <w:r/>
            <w:r>
              <w:t>−19.8</w:t>
            </w:r>
          </w:p>
        </w:tc>
        <w:tc>
          <w:tcPr>
            <w:tcW w:type="dxa" w:w="1234"/>
          </w:tcPr>
          <w:p>
            <w:r/>
            <w:r>
              <w:t>+10.2 [−2.1, 22.1]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tune</w:t>
            </w:r>
          </w:p>
        </w:tc>
        <w:tc>
          <w:tcPr>
            <w:tcW w:type="dxa" w:w="1234"/>
          </w:tcPr>
          <w:p>
            <w:r/>
            <w:r>
              <w:t>33 (12)</w:t>
            </w:r>
          </w:p>
        </w:tc>
        <w:tc>
          <w:tcPr>
            <w:tcW w:type="dxa" w:w="1234"/>
          </w:tcPr>
          <w:p>
            <w:r/>
            <w:r>
              <w:t>−2.1 [−21.1, 27.2]</w:t>
            </w:r>
          </w:p>
        </w:tc>
        <w:tc>
          <w:tcPr>
            <w:tcW w:type="dxa" w:w="1234"/>
          </w:tcPr>
          <w:p>
            <w:r/>
            <w:r>
              <w:t>−5.4 [−18.7, 18.4]</w:t>
            </w:r>
          </w:p>
        </w:tc>
        <w:tc>
          <w:tcPr>
            <w:tcW w:type="dxa" w:w="1234"/>
          </w:tcPr>
          <w:p>
            <w:r/>
            <w:r>
              <w:t>−5.4</w:t>
            </w:r>
          </w:p>
        </w:tc>
        <w:tc>
          <w:tcPr>
            <w:tcW w:type="dxa" w:w="1234"/>
          </w:tcPr>
          <w:p>
            <w:r/>
            <w:r>
              <w:t>−3.3 [−17.2, 5.1]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pooled</w:t>
            </w:r>
          </w:p>
        </w:tc>
        <w:tc>
          <w:tcPr>
            <w:tcW w:type="dxa" w:w="1234"/>
          </w:tcPr>
          <w:p>
            <w:r/>
            <w:r>
              <w:t>78 (28)</w:t>
            </w:r>
          </w:p>
        </w:tc>
        <w:tc>
          <w:tcPr>
            <w:tcW w:type="dxa" w:w="1234"/>
          </w:tcPr>
          <w:p>
            <w:r/>
            <w:r>
              <w:t>−18.2 [−35.4, −0.2]</w:t>
            </w:r>
          </w:p>
        </w:tc>
        <w:tc>
          <w:tcPr>
            <w:tcW w:type="dxa" w:w="1234"/>
          </w:tcPr>
          <w:p>
            <w:r/>
            <w:r>
              <w:t>−13.7 [−23.1, −2.4]</w:t>
            </w:r>
          </w:p>
        </w:tc>
        <w:tc>
          <w:tcPr>
            <w:tcW w:type="dxa" w:w="1234"/>
          </w:tcPr>
          <w:p>
            <w:r/>
            <w:r>
              <w:t>−13.7</w:t>
            </w:r>
          </w:p>
        </w:tc>
        <w:tc>
          <w:tcPr>
            <w:tcW w:type="dxa" w:w="1234"/>
          </w:tcPr>
          <w:p>
            <w:r/>
            <w:r>
              <w:t>+4.5 [−4.8, 13.5]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pooled, no PARA</w:t>
            </w:r>
          </w:p>
        </w:tc>
        <w:tc>
          <w:tcPr>
            <w:tcW w:type="dxa" w:w="1234"/>
          </w:tcPr>
          <w:p>
            <w:r/>
            <w:r>
              <w:t>69 (27)</w:t>
            </w:r>
          </w:p>
        </w:tc>
        <w:tc>
          <w:tcPr>
            <w:tcW w:type="dxa" w:w="1234"/>
          </w:tcPr>
          <w:p>
            <w:r/>
            <w:r>
              <w:t>−11.4 [−26.1, 4.1]</w:t>
            </w:r>
          </w:p>
        </w:tc>
        <w:tc>
          <w:tcPr>
            <w:tcW w:type="dxa" w:w="1234"/>
          </w:tcPr>
          <w:p>
            <w:r/>
            <w:r>
              <w:t>−10.2</w:t>
            </w:r>
          </w:p>
        </w:tc>
        <w:tc>
          <w:tcPr>
            <w:tcW w:type="dxa" w:w="1234"/>
          </w:tcPr>
          <w:p>
            <w:r/>
            <w:r>
              <w:t>−10.2 [−18.4, 1.0]</w:t>
            </w:r>
          </w:p>
        </w:tc>
        <w:tc>
          <w:tcPr>
            <w:tcW w:type="dxa" w:w="1234"/>
          </w:tcPr>
          <w:p>
            <w:r/>
            <w:r>
              <w:t>+1.2 [−6.6, 9.3]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neutral</w:t>
            </w:r>
          </w:p>
        </w:tc>
        <w:tc>
          <w:tcPr>
            <w:tcW w:type="dxa" w:w="1234"/>
          </w:tcPr>
          <w:p>
            <w:r/>
            <w:r>
              <w:t>train</w:t>
            </w:r>
          </w:p>
        </w:tc>
        <w:tc>
          <w:tcPr>
            <w:tcW w:type="dxa" w:w="1234"/>
          </w:tcPr>
          <w:p>
            <w:r/>
            <w:r>
              <w:t>48 (27)</w:t>
            </w:r>
          </w:p>
        </w:tc>
        <w:tc>
          <w:tcPr>
            <w:tcW w:type="dxa" w:w="1234"/>
          </w:tcPr>
          <w:p>
            <w:r/>
            <w:r>
              <w:t>+12.2 [−4.9, 31.7]</w:t>
            </w:r>
          </w:p>
        </w:tc>
        <w:tc>
          <w:tcPr>
            <w:tcW w:type="dxa" w:w="1234"/>
          </w:tcPr>
          <w:p>
            <w:r/>
            <w:r>
              <w:t>+12.2</w:t>
            </w:r>
          </w:p>
        </w:tc>
        <w:tc>
          <w:tcPr>
            <w:tcW w:type="dxa" w:w="1234"/>
          </w:tcPr>
          <w:p>
            <w:r/>
            <w:r>
              <w:t>+2.4 [−7.4, 11.1]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tune</w:t>
            </w:r>
          </w:p>
        </w:tc>
        <w:tc>
          <w:tcPr>
            <w:tcW w:type="dxa" w:w="1234"/>
          </w:tcPr>
          <w:p>
            <w:r/>
            <w:r>
              <w:t>43 (27)</w:t>
            </w:r>
          </w:p>
        </w:tc>
        <w:tc>
          <w:tcPr>
            <w:tcW w:type="dxa" w:w="1234"/>
          </w:tcPr>
          <w:p>
            <w:r/>
            <w:r>
              <w:t>+0.8 [−6.5, 9.9]</w:t>
            </w:r>
          </w:p>
        </w:tc>
        <w:tc>
          <w:tcPr>
            <w:tcW w:type="dxa" w:w="1234"/>
          </w:tcPr>
          <w:p>
            <w:r/>
            <w:r>
              <w:t>+0.8</w:t>
            </w:r>
          </w:p>
        </w:tc>
        <w:tc>
          <w:tcPr>
            <w:tcW w:type="dxa" w:w="1234"/>
          </w:tcPr>
          <w:p>
            <w:r/>
            <w:r>
              <w:t>+3.8 [−1.6, 9.1]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pooled</w:t>
            </w:r>
          </w:p>
        </w:tc>
        <w:tc>
          <w:tcPr>
            <w:tcW w:type="dxa" w:w="1234"/>
          </w:tcPr>
          <w:p>
            <w:r/>
            <w:r>
              <w:t>91 (54)</w:t>
            </w:r>
          </w:p>
        </w:tc>
        <w:tc>
          <w:tcPr>
            <w:tcW w:type="dxa" w:w="1234"/>
          </w:tcPr>
          <w:p>
            <w:r/>
            <w:r>
              <w:t>+6.8 [−3.3, 17.9]</w:t>
            </w:r>
          </w:p>
        </w:tc>
        <w:tc>
          <w:tcPr>
            <w:tcW w:type="dxa" w:w="1234"/>
          </w:tcPr>
          <w:p>
            <w:r/>
            <w:r>
              <w:t>+6.8</w:t>
            </w:r>
          </w:p>
        </w:tc>
        <w:tc>
          <w:tcPr>
            <w:tcW w:type="dxa" w:w="1234"/>
          </w:tcPr>
          <w:p>
            <w:r/>
            <w:r>
              <w:t>+3.1 [−2.8, 8.2]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</w:rPr>
              <w:t>bullish</w:t>
            </w:r>
            <w:r>
              <w:t xml:space="preserve"> (10 cases; no conclusion rests on this)</w:t>
            </w:r>
          </w:p>
        </w:tc>
        <w:tc>
          <w:tcPr>
            <w:tcW w:type="dxa" w:w="1234"/>
          </w:tcPr>
          <w:p>
            <w:r/>
            <w:r>
              <w:t>pooled</w:t>
            </w:r>
          </w:p>
        </w:tc>
        <w:tc>
          <w:tcPr>
            <w:tcW w:type="dxa" w:w="1234"/>
          </w:tcPr>
          <w:p>
            <w:r/>
            <w:r>
              <w:t>10 (9)</w:t>
            </w:r>
          </w:p>
        </w:tc>
        <w:tc>
          <w:tcPr>
            <w:tcW w:type="dxa" w:w="1234"/>
          </w:tcPr>
          <w:p>
            <w:r/>
            <w:r>
              <w:t>+7.5 [−15.1, 36.0]</w:t>
            </w:r>
          </w:p>
        </w:tc>
        <w:tc>
          <w:tcPr>
            <w:tcW w:type="dxa" w:w="1234"/>
          </w:tcPr>
          <w:p>
            <w:r/>
            <w:r>
              <w:t>+7.5</w:t>
            </w:r>
          </w:p>
        </w:tc>
        <w:tc>
          <w:tcPr>
            <w:tcW w:type="dxa" w:w="1234"/>
          </w:tcPr>
          <w:p>
            <w:r/>
            <w:r>
              <w:t>+14.3 [−7.7, 40.9]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/>
    <w:p>
      <w:r>
        <w:rPr>
          <w:b/>
        </w:rPr>
        <w:t>Confirmed minus neutral, A (does the second call carry information?)</w:t>
      </w:r>
      <w:r>
        <w:t xml:space="preserve"> Ticker-block ranges (</w:t>
      </w:r>
      <w:r>
        <w:rPr>
          <w:rFonts w:ascii="Consolas" w:hAnsi="Consolas"/>
          <w:sz w:val="19"/>
        </w:rPr>
        <w:t>extra.json</w:t>
      </w:r>
      <w:r>
        <w:t xml:space="preserve">): train </w:t>
      </w:r>
      <w:r>
        <w:rPr>
          <w:b/>
        </w:rPr>
        <w:t>−42.3</w:t>
      </w:r>
      <w:r>
        <w:t xml:space="preserve"> [−64.4, −21.6]; tune </w:t>
      </w:r>
      <w:r>
        <w:rPr>
          <w:b/>
        </w:rPr>
        <w:t>−2.9</w:t>
      </w:r>
      <w:r>
        <w:t xml:space="preserve"> [−26.8, 29.6]; pooled </w:t>
      </w:r>
      <w:r>
        <w:rPr>
          <w:b/>
        </w:rPr>
        <w:t>−25.1</w:t>
      </w:r>
      <w:r>
        <w:t xml:space="preserve"> [−41.3, −6.2].</w:t>
      </w:r>
    </w:p>
    <w:p>
      <w:r>
        <w:rPr>
          <w:b/>
        </w:rPr>
        <w:t>How much of that is the decline that happens before the second call.</w:t>
      </w:r>
      <w:r>
        <w:t xml:space="preserve"> By the time a second call arrives, a confirmed stock has already fallen (cost of waiting −13.7 pooled against +3.1 for neutral). What the confirmation rule can still act on is the return *after* the exit day. That is minus (C − A) in the confirmed group: train </w:t>
      </w:r>
      <w:r>
        <w:rPr>
          <w:b/>
        </w:rPr>
        <w:t>−10.2</w:t>
      </w:r>
      <w:r>
        <w:t xml:space="preserve"> (kept falling), tune </w:t>
      </w:r>
      <w:r>
        <w:rPr>
          <w:b/>
        </w:rPr>
        <w:t>+3.3</w:t>
      </w:r>
      <w:r>
        <w:t xml:space="preserve"> (rebounded), pooled </w:t>
      </w:r>
      <w:r>
        <w:rPr>
          <w:b/>
        </w:rPr>
        <w:t>−4.5</w:t>
      </w:r>
      <w:r>
        <w:t xml:space="preserve"> [−13.5, 4.8]. Confirmed stocks also did worse than neutral ones *after* the exit day on train (difference −20.0 [−36.5, −4.5], range excludes zero), but not on tune (+6.3 [−5.2, 22.4]); pooled −8.3 [−19.9, 3.1].</w:t>
      </w:r>
    </w:p>
    <w:p>
      <w:pPr>
        <w:pStyle w:val="Heading1"/>
      </w:pPr>
      <w:r>
        <w:t>4. Findings</w:t>
      </w:r>
    </w:p>
    <w:p>
      <w:r>
        <w:rPr>
          <w:b/>
        </w:rPr>
        <w:t>1. The corrupt PARA series is the biggest finding, and it is not the one the run was built for.</w:t>
      </w:r>
      <w:r>
        <w:t xml:space="preserve"> See the top of this report. It converts a "flagged stocks lose 4 points" starting premise into "flagged stocks lose nothing on average," and hides that the typical flagged stock still lags (median about −8%).</w:t>
      </w:r>
    </w:p>
    <w:p>
      <w:r>
        <w:rPr>
          <w:b/>
        </w:rPr>
        <w:t>2. Selling at once does not beat holding, on average, once the data are right.</w:t>
      </w:r>
      <w:r>
        <w:t xml:space="preserve"> As specified: +4.1 loss avoided, range −6.5 to +16.1. Train +7.2, tune </w:t>
      </w:r>
      <w:r>
        <w:rPr>
          <w:b/>
        </w:rPr>
        <w:t>+0.1</w:t>
      </w:r>
      <w:r>
        <w:t xml:space="preserve">. Without PARA: </w:t>
      </w:r>
      <w:r>
        <w:rPr>
          <w:b/>
        </w:rPr>
        <w:t>0.0</w:t>
      </w:r>
      <w:r>
        <w:t xml:space="preserve">. The prompt's prediction (B beats A by roughly 4) is met by the pooled point estimate only, and only because of PARA. </w:t>
      </w:r>
      <w:r>
        <w:rPr>
          <w:b/>
        </w:rPr>
        <w:t>It does not replicate on tune.</w:t>
      </w:r>
    </w:p>
    <w:p>
      <w:r>
        <w:rPr>
          <w:b/>
        </w:rPr>
        <w:t>3. C lands between A and B on the pooled and train figures with PARA; on tune it does not.</w:t>
      </w:r>
      <w:r>
        <w:t xml:space="preserve"> Tune: A −0.1, B 0, C </w:t>
      </w:r>
      <w:r>
        <w:rPr>
          <w:b/>
        </w:rPr>
        <w:t>−1.5</w:t>
      </w:r>
      <w:r>
        <w:t xml:space="preserve">, below both. Without PARA: A 0.0, B 0, C +0.5. </w:t>
      </w:r>
      <w:r>
        <w:rPr>
          <w:b/>
        </w:rPr>
        <w:t>The pre-registered prediction is partly met and cannot be distinguished from noise either way.</w:t>
      </w:r>
    </w:p>
    <w:p>
      <w:r>
        <w:rPr>
          <w:b/>
        </w:rPr>
        <w:t>4. The second call clearly separates the groups on train and not on tune.</w:t>
      </w:r>
      <w:r>
        <w:t xml:space="preserve"> Confirmed calls did far worse than neutral-followed calls on train (−30.1 vs +12.2; difference −42.3 with a range excluding zero). On tune they differ by 2.9 points with a range from −26.8 to +29.6. The pre-registration said that if the confirmed group does not do clearly worse, the confirmation idea is dead. </w:t>
      </w:r>
      <w:r>
        <w:rPr>
          <w:b/>
        </w:rPr>
        <w:t>Train says it does; tune cannot say.</w:t>
      </w:r>
      <w:r>
        <w:t xml:space="preserve"> By "train discovers, tune confirms," it is not shown. </w:t>
      </w:r>
      <w:r>
        <w:rPr>
          <w:b/>
        </w:rPr>
        <w:t>The sign is the same on both splits and on the pooled figures, with or without PARA (−11.4 vs +8.0).</w:t>
      </w:r>
    </w:p>
    <w:p>
      <w:r>
        <w:rPr>
          <w:b/>
        </w:rPr>
        <w:t>5. Most of the confirmed group's decline has already happened by the time you would confirm.</w:t>
      </w:r>
      <w:r>
        <w:t xml:space="preserve"> The median next call arrives 91 days after the first (range 3 to 202). Pooled, the confirmed group's average return in that quarter is −13.7 out of its −18.2 six-month total. Exiting at confirmation avoids the remaining −4.5 pooled, with a range from −13.5 to +4.8, and the sign flips between train (avoids 10.2) and tune (gives up 3.3).</w:t>
      </w:r>
    </w:p>
    <w:p>
      <w:r>
        <w:rPr>
          <w:b/>
        </w:rPr>
        <w:t>6. The cost side is real for the group where waiting hurts and small for the rest.</w:t>
      </w:r>
      <w:r>
        <w:t xml:space="preserve"> Waiting costs 3.6 points on average in the quarter before a decision (1.2 without PARA), but that is a blend: −13.7 for the 78 that turn out to be confirmed and </w:t>
      </w:r>
      <w:r>
        <w:rPr>
          <w:b/>
        </w:rPr>
        <w:t>+3.1 for the 91 that are followed by a neutral call</w:t>
      </w:r>
      <w:r>
        <w:t xml:space="preserve"> (waiting *earns* 3.1 there).</w:t>
      </w:r>
    </w:p>
    <w:p>
      <w:r>
        <w:rPr>
          <w:b/>
        </w:rPr>
        <w:t>7. The averages are dominated by a few collapses.</w:t>
      </w:r>
      <w:r>
        <w:t xml:space="preserve"> The five worst hold outcomes pooled are PARA ×3 (fake), FRC and SUNW (real). Removing the worst five moves the pooled hold average from −4.1 to −1.1. The real collapses are the case for acting at once: </w:t>
      </w:r>
      <w:r>
        <w:rPr>
          <w:b/>
        </w:rPr>
        <w:t>FRC 2023-01-13</w:t>
      </w:r>
      <w:r>
        <w:t xml:space="preserve">: A −112, B 0, but C −96 (its next call came 101 days later and was bearish; waiting ate most of the loss). </w:t>
      </w:r>
      <w:r>
        <w:rPr>
          <w:b/>
        </w:rPr>
        <w:t>SUNW 2023-08-14</w:t>
      </w:r>
      <w:r>
        <w:t xml:space="preserve">: A −103, C −70. </w:t>
      </w:r>
      <w:r>
        <w:rPr>
          <w:b/>
        </w:rPr>
        <w:t>SEDG</w:t>
      </w:r>
      <w:r>
        <w:t xml:space="preserve"> (four bearish calls in a row 2023 to 2024): A −74, −76, −86, −51 against C −58, −34, −59, −47. In these collapses C keeps between 14% and 92% of A's loss (SUNW 2023-05-25: A −85, C −12; SEDG 2024-08-07: A −51, C −47). That is the tail a single-call exit avoids, and it is not visible in the averages.</w:t>
      </w:r>
    </w:p>
    <w:p>
      <w:r>
        <w:rPr>
          <w:b/>
        </w:rPr>
        <w:t>8. Falsification check: C does not beat B with PARA in.</w:t>
      </w:r>
      <w:r>
        <w:t xml:space="preserve"> C −2.1 against B 0. </w:t>
      </w:r>
      <w:r>
        <w:rPr>
          <w:b/>
        </w:rPr>
        <w:t>Without PARA, C is +0.5 against B 0 (paired range −6.4 to +7.5).</w:t>
      </w:r>
      <w:r>
        <w:t xml:space="preserve"> That is inside the noise, but it is the exact case the prompt says to treat as a reason to re-check the calculation. I re-checked: the difference is C's neutral group (+8.0 without PARA) being held rather than sold, offset by C's confirmed group (−10.2). No error found.</w:t>
      </w:r>
    </w:p>
    <w:p>
      <w:pPr>
        <w:pStyle w:val="Heading1"/>
      </w:pPr>
      <w:r>
        <w:t>5. What Luis would do differently</w:t>
      </w:r>
    </w:p>
    <w:p>
      <w:pPr>
        <w:pStyle w:val="ListBullet"/>
      </w:pPr>
      <w:r>
        <w:rPr>
          <w:b/>
        </w:rPr>
        <w:t>If acting at once won:</w:t>
      </w:r>
      <w:r>
        <w:t xml:space="preserve"> it did not. The pooled loss avoided is 4.1 with PARA and 0.0 without, and tune is +0.1. There is no case here for a single-call exit trigger *on average return*. The case that remains is </w:t>
      </w:r>
      <w:r>
        <w:rPr>
          <w:b/>
        </w:rPr>
        <w:t>tail protection</w:t>
      </w:r>
      <w:r>
        <w:t>: it is FRC, SUNW and SEDG-type outcomes that a same-day exit would have avoided in full (finding 7).</w:t>
      </w:r>
    </w:p>
    <w:p>
      <w:pPr>
        <w:pStyle w:val="ListBullet"/>
      </w:pPr>
      <w:r>
        <w:rPr>
          <w:b/>
        </w:rPr>
        <w:t>If confirming won:</w:t>
      </w:r>
      <w:r>
        <w:t xml:space="preserve"> it did not either. C − A is +2.0 [−2.0, 6.3] with PARA and +0.5 [−2.8, 3.6] without. What the second call *does* do, on train, is sort the stocks that go on to do badly (−30%) from those that do not (+12%). But that sorting has mostly happened by the time you act on it.</w:t>
      </w:r>
    </w:p>
    <w:p>
      <w:pPr>
        <w:pStyle w:val="ListBullet"/>
      </w:pPr>
      <w:r>
        <w:rPr>
          <w:b/>
        </w:rPr>
        <w:t>Indistinguishable — this is the answer.</w:t>
      </w:r>
      <w:r>
        <w:t xml:space="preserve"> The choice between acting at once, waiting for a second call, and holding then rests on what this run does not model: </w:t>
      </w:r>
      <w:r>
        <w:rPr>
          <w:b/>
        </w:rPr>
        <w:t>tax on realized gains and losses, trading costs, and the risk you are willing to carry in a position</w:t>
      </w:r>
      <w:r>
        <w:t>, especially through a collapse. The graduated exit ratchet is a closed design decision; this run does not reopen it.</w:t>
      </w:r>
    </w:p>
    <w:p>
      <w:pPr>
        <w:pStyle w:val="Heading1"/>
      </w:pPr>
      <w:r>
        <w:t>6. Deviations and premises</w:t>
      </w:r>
    </w:p>
    <w:p>
      <w:pPr>
        <w:pStyle w:val="ListNumber"/>
      </w:pPr>
      <w:r>
        <w:rPr>
          <w:b/>
        </w:rPr>
        <w:t>PARA's price series is corrupt</w:t>
      </w:r>
      <w:r>
        <w:t xml:space="preserve"> (top of report). Not in the prompt. The prompt's "4.8 points over 90 days" figure was not re-derived here.</w:t>
      </w:r>
    </w:p>
    <w:p>
      <w:pPr>
        <w:pStyle w:val="ListNumber"/>
      </w:pPr>
      <w:r>
        <w:rPr>
          <w:b/>
        </w:rPr>
        <w:t>"Next call" is the next call in the corpus,</w:t>
      </w:r>
      <w:r>
        <w:t xml:space="preserve"> not necessarily the next quarter. Three cases are more than 150 days out (JKS 181 and 202 days, GIS 175); one MMM pair is 3 days apart. I did not filter them.</w:t>
      </w:r>
    </w:p>
    <w:p>
      <w:pPr>
        <w:pStyle w:val="ListNumber"/>
      </w:pPr>
      <w:r>
        <w:rPr>
          <w:b/>
        </w:rPr>
        <w:t>Robustness computations added after seeing the point estimates:</w:t>
      </w:r>
      <w:r>
        <w:t xml:space="preserve"> confirmed-minus-neutral ranges, the concentration check, the no-PARA sensitivity, and the R4/R4b PARA check. They are labelled as such and were committed before their outputs were used. The pre-registered tests are the ones in </w:t>
      </w:r>
      <w:r>
        <w:rPr>
          <w:rFonts w:ascii="Consolas" w:hAnsi="Consolas"/>
          <w:sz w:val="19"/>
        </w:rPr>
        <w:t>findings.md</w:t>
      </w:r>
      <w:r>
        <w:t>.</w:t>
      </w:r>
    </w:p>
    <w:p>
      <w:pPr>
        <w:pStyle w:val="ListNumber"/>
      </w:pPr>
      <w:r>
        <w:rPr>
          <w:b/>
        </w:rPr>
        <w:t>For the no-PARA tables</w:t>
      </w:r>
      <w:r>
        <w:t xml:space="preserve"> I show ranges only where I computed them for the exact quantity; the rest are point estimates from </w:t>
      </w:r>
      <w:r>
        <w:rPr>
          <w:rFonts w:ascii="Consolas" w:hAnsi="Consolas"/>
          <w:sz w:val="19"/>
        </w:rPr>
        <w:t>nopara.json</w:t>
      </w:r>
      <w:r>
        <w:t>.</w:t>
      </w:r>
    </w:p>
    <w:p>
      <w:pPr>
        <w:pStyle w:val="ListNumber"/>
      </w:pPr>
      <w:r>
        <w:rPr>
          <w:b/>
        </w:rPr>
        <w:t>B's "share negative" is not meaningful</w:t>
      </w:r>
      <w:r>
        <w:t xml:space="preserve"> (0 by construction) and is not shown.</w:t>
      </w:r>
    </w:p>
    <w:p>
      <w:pPr>
        <w:pStyle w:val="ListNumber"/>
      </w:pPr>
      <w:r>
        <w:rPr>
          <w:b/>
        </w:rPr>
        <w:t>Version guard skipped:</w:t>
      </w:r>
      <w:r>
        <w:t xml:space="preserve"> no scoring calls.</w:t>
      </w:r>
    </w:p>
    <w:p>
      <w:pPr>
        <w:pStyle w:val="ListNumber"/>
      </w:pPr>
      <w:r>
        <w:rPr>
          <w:b/>
        </w:rPr>
        <w:t>`prompts/disaster-profile-test.md` is untracked in the working tree.</w:t>
      </w:r>
      <w:r>
        <w:t xml:space="preserve"> It is not this run's prompt and I did not stage it.</w:t>
      </w:r>
    </w:p>
    <w:p>
      <w:pPr>
        <w:pStyle w:val="Heading1"/>
      </w:pPr>
      <w:r>
        <w:t>7. Verification</w:t>
      </w:r>
    </w:p>
    <w:p>
      <w:pPr>
        <w:pStyle w:val="ListBullet"/>
      </w:pPr>
      <w:r>
        <w:t>Population counts re-derived and match the prompt exactly (187 / 179 / 78 / 91 / 10 / 8).</w:t>
      </w:r>
    </w:p>
    <w:p>
      <w:pPr>
        <w:pStyle w:val="ListBullet"/>
      </w:pPr>
      <w:r>
        <w:t>Fixed 182-day horizon from the *original* call for all four strategies. Entry and exit are strictly after the relevant call date.</w:t>
      </w:r>
    </w:p>
    <w:p>
      <w:pPr>
        <w:pStyle w:val="ListBullet"/>
      </w:pPr>
      <w:r>
        <w:t>WOLF and SPWR excluded; holdout not read (the eval directories are train and tune only).</w:t>
      </w:r>
    </w:p>
    <w:p>
      <w:pPr>
        <w:pStyle w:val="ListBullet"/>
      </w:pPr>
      <w:r>
        <w:t>The PARA defect was checked against the cache directly (series values) and against a screen of every corpus ticker.</w:t>
      </w:r>
    </w:p>
    <w:p>
      <w:pPr>
        <w:pStyle w:val="ListBullet"/>
      </w:pPr>
      <w:r>
        <w:t>Not verified: a corrected PARA series (none available without a refresh, which is not permitted).</w:t>
      </w:r>
    </w:p>
    <w:p>
      <w:pPr>
        <w:pStyle w:val="Heading1"/>
      </w:pPr>
      <w:r>
        <w:t>8. Follow-up commands</w:t>
      </w:r>
    </w:p>
    <w:p>
      <w:r>
        <w:rPr>
          <w:rFonts w:ascii="Consolas" w:hAnsi="Consolas"/>
          <w:sz w:val="18"/>
        </w:rPr>
        <w:t>python3 analysis/confirmation_rule_driver.py run</w:t>
        <w:br/>
        <w:t>python3 analysis/confirmation_rule_driver.py extra</w:t>
        <w:br/>
        <w:t>python3 analysis/confirmation_rule_driver.py nopara</w:t>
        <w:br/>
        <w:t>python3 analysis/confirmation_rule_driver.py r4check</w:t>
        <w:br/>
        <w:t>cat analysis/data/run_state/confirmation-rule-test/tables.txt</w:t>
      </w:r>
    </w:p>
    <w:p>
      <w:r>
        <w:t xml:space="preserve">Provenance: </w:t>
      </w:r>
      <w:r>
        <w:rPr>
          <w:rFonts w:ascii="Consolas" w:hAnsi="Consolas"/>
          <w:sz w:val="19"/>
        </w:rPr>
        <w:t>analysis/data/run_state/confirmation-rule-test/cells.jsonl</w:t>
      </w:r>
      <w:r>
        <w:t xml:space="preserve"> (keys </w:t>
      </w:r>
      <w:r>
        <w:rPr>
          <w:rFonts w:ascii="Consolas" w:hAnsi="Consolas"/>
          <w:sz w:val="19"/>
        </w:rPr>
        <w:t>split</w:t>
      </w:r>
      <w:r>
        <w:t xml:space="preserve">, </w:t>
      </w:r>
      <w:r>
        <w:rPr>
          <w:rFonts w:ascii="Consolas" w:hAnsi="Consolas"/>
          <w:sz w:val="19"/>
        </w:rPr>
        <w:t>group</w:t>
      </w:r>
      <w:r>
        <w:t xml:space="preserve">, </w:t>
      </w:r>
      <w:r>
        <w:rPr>
          <w:rFonts w:ascii="Consolas" w:hAnsi="Consolas"/>
          <w:sz w:val="19"/>
        </w:rPr>
        <w:t>results.&lt;strategy&gt;.mean_pct</w:t>
      </w:r>
      <w:r>
        <w:t xml:space="preserve">, </w:t>
      </w:r>
      <w:r>
        <w:rPr>
          <w:rFonts w:ascii="Consolas" w:hAnsi="Consolas"/>
          <w:sz w:val="19"/>
        </w:rPr>
        <w:t>mean_ci95</w:t>
      </w:r>
      <w:r>
        <w:t xml:space="preserve">); per-case rows </w:t>
      </w:r>
      <w:r>
        <w:rPr>
          <w:rFonts w:ascii="Consolas" w:hAnsi="Consolas"/>
          <w:sz w:val="19"/>
        </w:rPr>
        <w:t>cases.json</w:t>
      </w:r>
      <w:r>
        <w:t xml:space="preserve">; robustness </w:t>
      </w:r>
      <w:r>
        <w:rPr>
          <w:rFonts w:ascii="Consolas" w:hAnsi="Consolas"/>
          <w:sz w:val="19"/>
        </w:rPr>
        <w:t>extra.json</w:t>
      </w:r>
      <w:r>
        <w:t xml:space="preserve">; no-PARA </w:t>
      </w:r>
      <w:r>
        <w:rPr>
          <w:rFonts w:ascii="Consolas" w:hAnsi="Consolas"/>
          <w:sz w:val="19"/>
        </w:rPr>
        <w:t>nopara.json</w:t>
      </w:r>
      <w:r>
        <w:t xml:space="preserve">; R4/R4b check </w:t>
      </w:r>
      <w:r>
        <w:rPr>
          <w:rFonts w:ascii="Consolas" w:hAnsi="Consolas"/>
          <w:sz w:val="19"/>
        </w:rPr>
        <w:t>r4check.json</w:t>
      </w:r>
      <w:r>
        <w:t xml:space="preserve">; price cache </w:t>
      </w:r>
      <w:r>
        <w:rPr>
          <w:rFonts w:ascii="Consolas" w:hAnsi="Consolas"/>
          <w:sz w:val="19"/>
        </w:rPr>
        <w:t>analysis/data/corpus_v2/scorer_price_cache_v1.json</w:t>
      </w:r>
      <w:r>
        <w:t xml:space="preserve"> (PARA and VIAC keys); bootstrap seed 11, 2,000 redraws.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