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84B6" w14:textId="77777777" w:rsidR="00283B7B" w:rsidRDefault="00000000">
      <w:pPr>
        <w:spacing w:before="400" w:after="150"/>
        <w:jc w:val="center"/>
      </w:pPr>
      <w:r>
        <w:rPr>
          <w:b/>
          <w:bCs/>
          <w:color w:val="1B3F8B"/>
          <w:sz w:val="40"/>
          <w:szCs w:val="40"/>
        </w:rPr>
        <w:t>Portfolio Analyst Agent — Areas for Future Improvement</w:t>
      </w:r>
    </w:p>
    <w:p w14:paraId="1356E1C2" w14:textId="77777777" w:rsidR="00283B7B" w:rsidRDefault="00000000">
      <w:pPr>
        <w:spacing w:after="100"/>
        <w:jc w:val="center"/>
      </w:pPr>
      <w:r>
        <w:rPr>
          <w:i/>
          <w:iCs/>
          <w:color w:val="666666"/>
        </w:rPr>
        <w:t>A candid assessment of framework gaps relative to industry best practice.</w:t>
      </w:r>
    </w:p>
    <w:p w14:paraId="071F8654" w14:textId="77777777" w:rsidR="00283B7B" w:rsidRDefault="00000000">
      <w:pPr>
        <w:spacing w:after="400"/>
        <w:jc w:val="center"/>
      </w:pPr>
      <w:r>
        <w:rPr>
          <w:i/>
          <w:iCs/>
          <w:color w:val="666666"/>
        </w:rPr>
        <w:t>April 2026</w:t>
      </w:r>
    </w:p>
    <w:p w14:paraId="5F7101FE" w14:textId="77777777" w:rsidR="00283B7B" w:rsidRDefault="00283B7B">
      <w:pPr>
        <w:pBdr>
          <w:bottom w:val="single" w:sz="1" w:space="0" w:color="CCCCCC"/>
        </w:pBdr>
        <w:spacing w:before="200" w:after="200"/>
      </w:pPr>
    </w:p>
    <w:p w14:paraId="0D665BAF" w14:textId="77777777" w:rsidR="00283B7B" w:rsidRDefault="00000000">
      <w:pPr>
        <w:pStyle w:val="Heading1"/>
        <w:spacing w:before="400" w:after="200"/>
      </w:pPr>
      <w:r>
        <w:t>Preamble</w:t>
      </w:r>
    </w:p>
    <w:p w14:paraId="2AD801BF" w14:textId="77777777" w:rsidR="00283B7B" w:rsidRDefault="00000000">
      <w:pPr>
        <w:spacing w:before="100" w:after="100"/>
      </w:pPr>
      <w:r>
        <w:t>The Portfolio Analyst framework represents a rigorous, thesis-driven approach to concentrated portfolio management. It is significantly more sophisticated than what most individual investors operate with, and materially more disciplined than the prior approach that led to the ENPH concentration experience.</w:t>
      </w:r>
    </w:p>
    <w:p w14:paraId="3BC7C691" w14:textId="77777777" w:rsidR="00283B7B" w:rsidRDefault="00000000">
      <w:pPr>
        <w:spacing w:before="100" w:after="100"/>
      </w:pPr>
      <w:r>
        <w:t>However, intellectual honesty requires acknowledging where the framework falls short of industry best practice, where structural gaps remain, and what a more complete system would include. This document catalogs those gaps as areas for future improvement — not as criticisms of what has been built, but as a roadmap for what comes next.</w:t>
      </w:r>
    </w:p>
    <w:p w14:paraId="7A197BC5" w14:textId="77777777" w:rsidR="00283B7B" w:rsidRDefault="00000000">
      <w:pPr>
        <w:spacing w:before="100" w:after="100"/>
      </w:pPr>
      <w:r>
        <w:t>Each area is described with three elements: what the gap is, why it matters, and what a future improvement would look like in practical terms.</w:t>
      </w:r>
    </w:p>
    <w:p w14:paraId="3EAE1F44" w14:textId="77777777" w:rsidR="00283B7B" w:rsidRDefault="00283B7B">
      <w:pPr>
        <w:pBdr>
          <w:bottom w:val="single" w:sz="1" w:space="0" w:color="CCCCCC"/>
        </w:pBdr>
        <w:spacing w:before="200" w:after="200"/>
      </w:pPr>
    </w:p>
    <w:p w14:paraId="38F2405B" w14:textId="77777777" w:rsidR="00283B7B" w:rsidRDefault="00000000">
      <w:pPr>
        <w:pStyle w:val="Heading1"/>
        <w:spacing w:before="400" w:after="200"/>
      </w:pPr>
      <w:r>
        <w:t>Area 1 — No Quantitative Risk Model</w:t>
      </w:r>
    </w:p>
    <w:p w14:paraId="409BB5EE" w14:textId="77777777" w:rsidR="00283B7B" w:rsidRDefault="00000000">
      <w:pPr>
        <w:pStyle w:val="Heading2"/>
        <w:spacing w:before="300" w:after="150"/>
      </w:pPr>
      <w:r>
        <w:t>The Gap</w:t>
      </w:r>
    </w:p>
    <w:p w14:paraId="309F4141" w14:textId="77777777" w:rsidR="00283B7B" w:rsidRDefault="00000000">
      <w:pPr>
        <w:spacing w:before="100" w:after="100"/>
      </w:pPr>
      <w:r>
        <w:t>The current framework identifies concentration risk qualitatively — AMPX at 33% is flagged as dangerous because it exceeds the 35% Type A cap. But it does not measure how much of the total portfolio risk is explained by a single factor, and it does not quantify correlation between positions.</w:t>
      </w:r>
    </w:p>
    <w:p w14:paraId="689733A0" w14:textId="77777777" w:rsidR="00283B7B" w:rsidRDefault="00000000">
      <w:pPr>
        <w:spacing w:before="100" w:after="100"/>
      </w:pPr>
      <w:r>
        <w:t>In practice, AMPX, EOSE, and ENVX are all energy storage companies at similar stages of commercialization. They are highly correlated — in a macro environment that punishes pre-profitable growth stocks, all three would likely decline together regardless of individual thesis quality. The current framework knows this intuitively but cannot measure it.</w:t>
      </w:r>
    </w:p>
    <w:p w14:paraId="0BA4793D" w14:textId="77777777" w:rsidR="00283B7B" w:rsidRDefault="00000000">
      <w:pPr>
        <w:pStyle w:val="Heading2"/>
        <w:spacing w:before="300" w:after="150"/>
      </w:pPr>
      <w:r>
        <w:t>Why It Matters</w:t>
      </w:r>
    </w:p>
    <w:p w14:paraId="3FCBD328" w14:textId="77777777" w:rsidR="00283B7B" w:rsidRDefault="00000000">
      <w:pPr>
        <w:spacing w:before="100" w:after="100"/>
      </w:pPr>
      <w:r>
        <w:t>A portfolio that appears diversified across 5-10 positions may have 80% of its risk concentrated in a single macro factor — in this case, energy storage adoption and risk appetite for pre-profitable growth companies. Without measuring this, position sizing decisions are made without full information.</w:t>
      </w:r>
    </w:p>
    <w:p w14:paraId="09706FA4" w14:textId="77777777" w:rsidR="00283B7B" w:rsidRDefault="00000000">
      <w:pPr>
        <w:spacing w:before="100" w:after="100"/>
      </w:pPr>
      <w:r>
        <w:t>The practical consequence: the "enough diversification" judgment is currently qualitative and therefore subject to the same overconfidence bias that created the ENPH concentration in the first place.</w:t>
      </w:r>
    </w:p>
    <w:p w14:paraId="39778C58" w14:textId="77777777" w:rsidR="00283B7B" w:rsidRDefault="00000000">
      <w:pPr>
        <w:pStyle w:val="Heading2"/>
        <w:spacing w:before="300" w:after="150"/>
      </w:pPr>
      <w:r>
        <w:lastRenderedPageBreak/>
        <w:t>Future Improvement</w:t>
      </w:r>
    </w:p>
    <w:p w14:paraId="3A4FD46D" w14:textId="77777777" w:rsidR="00283B7B" w:rsidRDefault="00000000">
      <w:pPr>
        <w:pStyle w:val="ListParagraph"/>
        <w:numPr>
          <w:ilvl w:val="0"/>
          <w:numId w:val="1"/>
        </w:numPr>
        <w:spacing w:before="60" w:after="60"/>
      </w:pPr>
      <w:r>
        <w:t>Implement a simple correlation matrix across current holdings, updated quarterly</w:t>
      </w:r>
    </w:p>
    <w:p w14:paraId="239525E0" w14:textId="77777777" w:rsidR="00283B7B" w:rsidRDefault="00000000">
      <w:pPr>
        <w:pStyle w:val="ListParagraph"/>
        <w:numPr>
          <w:ilvl w:val="0"/>
          <w:numId w:val="1"/>
        </w:numPr>
        <w:spacing w:before="60" w:after="60"/>
      </w:pPr>
      <w:r>
        <w:t>Calculate factor exposure: what percentage of total portfolio volatility is explained by the energy storage theme, the defense tech theme, and the semiconductor theme separately</w:t>
      </w:r>
    </w:p>
    <w:p w14:paraId="2BDAD8C5" w14:textId="77777777" w:rsidR="00283B7B" w:rsidRDefault="00000000">
      <w:pPr>
        <w:pStyle w:val="ListParagraph"/>
        <w:numPr>
          <w:ilvl w:val="0"/>
          <w:numId w:val="1"/>
        </w:numPr>
        <w:spacing w:before="60" w:after="60"/>
      </w:pPr>
      <w:r>
        <w:t>Set a maximum factor exposure limit — for example, no single macro theme should account for more than 50% of total portfolio volatility, regardless of how many individual positions represent that theme</w:t>
      </w:r>
    </w:p>
    <w:p w14:paraId="05BAC19B" w14:textId="77777777" w:rsidR="00283B7B" w:rsidRDefault="00000000">
      <w:pPr>
        <w:pStyle w:val="ListParagraph"/>
        <w:numPr>
          <w:ilvl w:val="0"/>
          <w:numId w:val="1"/>
        </w:numPr>
        <w:spacing w:before="60" w:after="60"/>
      </w:pPr>
      <w:r>
        <w:t xml:space="preserve">Tools that enable this at individual investor scale: Portfolio Visualizer (free), or a simple Python script using </w:t>
      </w:r>
      <w:proofErr w:type="spellStart"/>
      <w:r>
        <w:t>yfinance</w:t>
      </w:r>
      <w:proofErr w:type="spellEnd"/>
      <w:r>
        <w:t xml:space="preserve"> return correlations</w:t>
      </w:r>
    </w:p>
    <w:p w14:paraId="68A20816" w14:textId="77777777" w:rsidR="00283B7B" w:rsidRDefault="00283B7B">
      <w:pPr>
        <w:pBdr>
          <w:bottom w:val="single" w:sz="1" w:space="0" w:color="CCCCCC"/>
        </w:pBdr>
        <w:spacing w:before="200" w:after="200"/>
      </w:pPr>
    </w:p>
    <w:p w14:paraId="2B1D1759" w14:textId="77777777" w:rsidR="00283B7B" w:rsidRDefault="00000000">
      <w:pPr>
        <w:pStyle w:val="Heading1"/>
        <w:spacing w:before="400" w:after="200"/>
      </w:pPr>
      <w:r>
        <w:t>Area 2 — No Quantitative Expected Return Model</w:t>
      </w:r>
    </w:p>
    <w:p w14:paraId="161585A1" w14:textId="77777777" w:rsidR="00283B7B" w:rsidRDefault="00000000">
      <w:pPr>
        <w:pStyle w:val="Heading2"/>
        <w:spacing w:before="300" w:after="150"/>
      </w:pPr>
      <w:r>
        <w:t>The Gap</w:t>
      </w:r>
    </w:p>
    <w:p w14:paraId="52B4323A" w14:textId="77777777" w:rsidR="00283B7B" w:rsidRDefault="00000000">
      <w:pPr>
        <w:spacing w:before="100" w:after="100"/>
      </w:pPr>
      <w:r>
        <w:t>When Layer 3 surfaces a new candidate, the framework evaluates it qualitatively — thesis strength, management credibility, Type A or B classification. It cannot say "AMPX has an estimated 23% expected return over 18 months versus ENVX at 31%, therefore the opportunity cost of holding AMPX at 33% rather than 15% is approximately $X."</w:t>
      </w:r>
    </w:p>
    <w:p w14:paraId="65F7B282" w14:textId="77777777" w:rsidR="00283B7B" w:rsidRDefault="00000000">
      <w:pPr>
        <w:spacing w:before="100" w:after="100"/>
      </w:pPr>
      <w:r>
        <w:t>Position sizing decisions are made on conviction level (high, medium, low) rather than on a quantitative estimate of expected value versus available alternatives. This means the framework cannot answer the question the agent was designed to answer: "given total capital, what is the highest expected-value portfolio constructable today?"</w:t>
      </w:r>
    </w:p>
    <w:p w14:paraId="6A882474" w14:textId="77777777" w:rsidR="00283B7B" w:rsidRDefault="00000000">
      <w:pPr>
        <w:pStyle w:val="Heading2"/>
        <w:spacing w:before="300" w:after="150"/>
      </w:pPr>
      <w:r>
        <w:t>Why It Matters</w:t>
      </w:r>
    </w:p>
    <w:p w14:paraId="03EB6051" w14:textId="77777777" w:rsidR="00283B7B" w:rsidRDefault="00000000">
      <w:pPr>
        <w:spacing w:before="100" w:after="100"/>
      </w:pPr>
      <w:r>
        <w:t>Without expected return estimates, the comparison between holding a current position and deploying capital into a new candidate is always qualitative. Qualitative comparisons are where emotional attachment, familiarity bias, and overconfidence have the most room to operate. Quantitative estimates force explicit assumptions that can be challenged and tracked.</w:t>
      </w:r>
    </w:p>
    <w:p w14:paraId="77DAC5A9" w14:textId="77777777" w:rsidR="00283B7B" w:rsidRDefault="00000000">
      <w:pPr>
        <w:pStyle w:val="Heading2"/>
        <w:spacing w:before="300" w:after="150"/>
      </w:pPr>
      <w:r>
        <w:t>Future Improvement</w:t>
      </w:r>
    </w:p>
    <w:p w14:paraId="1EDDD41D" w14:textId="77777777" w:rsidR="00283B7B" w:rsidRDefault="00000000">
      <w:pPr>
        <w:pStyle w:val="ListParagraph"/>
        <w:numPr>
          <w:ilvl w:val="0"/>
          <w:numId w:val="1"/>
        </w:numPr>
        <w:spacing w:before="60" w:after="60"/>
      </w:pPr>
      <w:r>
        <w:t>Develop a simple expected return model for each position: revenue growth rate × gross margin trajectory × multiple expansion/contraction assumption = price target over defined horizon</w:t>
      </w:r>
    </w:p>
    <w:p w14:paraId="3F1F2FC8" w14:textId="77777777" w:rsidR="00283B7B" w:rsidRDefault="00000000">
      <w:pPr>
        <w:pStyle w:val="ListParagraph"/>
        <w:numPr>
          <w:ilvl w:val="0"/>
          <w:numId w:val="1"/>
        </w:numPr>
        <w:spacing w:before="60" w:after="60"/>
      </w:pPr>
      <w:r>
        <w:t>Track model accuracy over time — did the 18-month price targets prove accurate? Which assumptions were systematically wrong?</w:t>
      </w:r>
    </w:p>
    <w:p w14:paraId="2A78DDEE" w14:textId="77777777" w:rsidR="00283B7B" w:rsidRDefault="00000000">
      <w:pPr>
        <w:pStyle w:val="ListParagraph"/>
        <w:numPr>
          <w:ilvl w:val="0"/>
          <w:numId w:val="1"/>
        </w:numPr>
        <w:spacing w:before="60" w:after="60"/>
      </w:pPr>
      <w:r>
        <w:t>Use the expected return differential between current holdings and new candidates as the primary input to the Layer 3 redeployment decision, rather than qualitative conviction comparison</w:t>
      </w:r>
    </w:p>
    <w:p w14:paraId="79E6B7DE" w14:textId="77777777" w:rsidR="00283B7B" w:rsidRDefault="00000000">
      <w:pPr>
        <w:pStyle w:val="ListParagraph"/>
        <w:numPr>
          <w:ilvl w:val="0"/>
          <w:numId w:val="1"/>
        </w:numPr>
        <w:spacing w:before="60" w:after="60"/>
      </w:pPr>
      <w:r>
        <w:t xml:space="preserve">This does not require sophisticated financial modeling — a simple discounted cash flow or revenue multiple </w:t>
      </w:r>
      <w:proofErr w:type="gramStart"/>
      <w:r>
        <w:t>model</w:t>
      </w:r>
      <w:proofErr w:type="gramEnd"/>
      <w:r>
        <w:t>, updated quarterly, is sufficient for the purpose</w:t>
      </w:r>
    </w:p>
    <w:p w14:paraId="2328B9A2" w14:textId="77777777" w:rsidR="00283B7B" w:rsidRDefault="00283B7B">
      <w:pPr>
        <w:pBdr>
          <w:bottom w:val="single" w:sz="1" w:space="0" w:color="CCCCCC"/>
        </w:pBdr>
        <w:spacing w:before="200" w:after="200"/>
      </w:pPr>
    </w:p>
    <w:p w14:paraId="6C664A99" w14:textId="77777777" w:rsidR="00283B7B" w:rsidRDefault="00000000">
      <w:pPr>
        <w:pStyle w:val="Heading1"/>
        <w:spacing w:before="400" w:after="200"/>
      </w:pPr>
      <w:r>
        <w:t>Area 3 — Retrospective Analysis Only (No Alternative Data)</w:t>
      </w:r>
    </w:p>
    <w:p w14:paraId="2B48CC1D" w14:textId="77777777" w:rsidR="00283B7B" w:rsidRDefault="00000000">
      <w:pPr>
        <w:pStyle w:val="Heading2"/>
        <w:spacing w:before="300" w:after="150"/>
      </w:pPr>
      <w:r>
        <w:lastRenderedPageBreak/>
        <w:t>The Gap</w:t>
      </w:r>
    </w:p>
    <w:p w14:paraId="22CB4A08" w14:textId="77777777" w:rsidR="00283B7B" w:rsidRDefault="00000000">
      <w:pPr>
        <w:spacing w:before="100" w:after="100"/>
      </w:pPr>
      <w:r>
        <w:t>The framework reads earnings call transcripts after the quarter ends and press releases as they are filed. It reacts to public information on the same timeline as every other investor reading the same documents.</w:t>
      </w:r>
    </w:p>
    <w:p w14:paraId="6BE3D20C" w14:textId="77777777" w:rsidR="00283B7B" w:rsidRDefault="00000000">
      <w:pPr>
        <w:spacing w:before="100" w:after="100"/>
      </w:pPr>
      <w:r>
        <w:t>The best institutional investors use alternative data — satellite imagery of manufacturing facilities, credit card transaction aggregates showing consumer demand trends, job posting data indicating hiring velocity, shipping container movement tracking supply chain health — to anticipate what the earnings call will say before it happens. Our framework has no equivalent.</w:t>
      </w:r>
    </w:p>
    <w:p w14:paraId="1DFDF898" w14:textId="77777777" w:rsidR="00283B7B" w:rsidRDefault="00000000">
      <w:pPr>
        <w:pStyle w:val="Heading2"/>
        <w:spacing w:before="300" w:after="150"/>
      </w:pPr>
      <w:r>
        <w:t>Why It Matters</w:t>
      </w:r>
    </w:p>
    <w:p w14:paraId="333697CA" w14:textId="77777777" w:rsidR="00283B7B" w:rsidRDefault="00000000">
      <w:pPr>
        <w:spacing w:before="100" w:after="100"/>
      </w:pPr>
      <w:r>
        <w:t>If the framework is reacting to the same public information at the same time as the rest of the market, the information edge is minimal. The market is generally efficient at incorporating public information quickly. The thesis-based approach adds value through better interpretation, not earlier access.</w:t>
      </w:r>
    </w:p>
    <w:p w14:paraId="5069FF8B" w14:textId="77777777" w:rsidR="00283B7B" w:rsidRDefault="00000000">
      <w:pPr>
        <w:spacing w:before="100" w:after="100"/>
      </w:pPr>
      <w:r>
        <w:t>For positions in the circle of competence — solar, energy storage, defense technology — there are observable leading indicators that could be monitored without expensive alternative data subscriptions.</w:t>
      </w:r>
    </w:p>
    <w:p w14:paraId="0D7D4533" w14:textId="77777777" w:rsidR="00283B7B" w:rsidRDefault="00000000">
      <w:pPr>
        <w:pStyle w:val="Heading2"/>
        <w:spacing w:before="300" w:after="150"/>
      </w:pPr>
      <w:r>
        <w:t>Future Improvement</w:t>
      </w:r>
    </w:p>
    <w:p w14:paraId="19D476DE" w14:textId="77777777" w:rsidR="00283B7B" w:rsidRDefault="00000000">
      <w:pPr>
        <w:pStyle w:val="ListParagraph"/>
        <w:numPr>
          <w:ilvl w:val="0"/>
          <w:numId w:val="1"/>
        </w:numPr>
        <w:spacing w:before="60" w:after="60"/>
      </w:pPr>
      <w:r>
        <w:t>Identify free or low-cost leading indicators for each position type:</w:t>
      </w:r>
    </w:p>
    <w:p w14:paraId="06E0E51D" w14:textId="77777777" w:rsidR="00283B7B" w:rsidRDefault="00000000">
      <w:pPr>
        <w:pStyle w:val="ListParagraph"/>
        <w:numPr>
          <w:ilvl w:val="1"/>
          <w:numId w:val="1"/>
        </w:numPr>
        <w:spacing w:before="40" w:after="40"/>
      </w:pPr>
      <w:r>
        <w:t>Energy storage: utility RFP announcements, interconnection queue data, battery raw material prices (lithium carbonate, cobalt)</w:t>
      </w:r>
    </w:p>
    <w:p w14:paraId="7CC2416E" w14:textId="77777777" w:rsidR="00283B7B" w:rsidRDefault="00000000">
      <w:pPr>
        <w:pStyle w:val="ListParagraph"/>
        <w:numPr>
          <w:ilvl w:val="1"/>
          <w:numId w:val="1"/>
        </w:numPr>
        <w:spacing w:before="40" w:after="40"/>
      </w:pPr>
      <w:r>
        <w:t>Defense technology: DoD budget announcements, NDAA compliance rule changes, drone program public disclosures</w:t>
      </w:r>
    </w:p>
    <w:p w14:paraId="43550622" w14:textId="77777777" w:rsidR="00283B7B" w:rsidRDefault="00000000">
      <w:pPr>
        <w:pStyle w:val="ListParagraph"/>
        <w:numPr>
          <w:ilvl w:val="1"/>
          <w:numId w:val="1"/>
        </w:numPr>
        <w:spacing w:before="40" w:after="40"/>
      </w:pPr>
      <w:r>
        <w:t>Semiconductors: TSMC capacity utilization reports, Taiwan export data, fab equipment orders</w:t>
      </w:r>
    </w:p>
    <w:p w14:paraId="2FD912DB" w14:textId="77777777" w:rsidR="00283B7B" w:rsidRDefault="00000000">
      <w:pPr>
        <w:pStyle w:val="ListParagraph"/>
        <w:numPr>
          <w:ilvl w:val="0"/>
          <w:numId w:val="1"/>
        </w:numPr>
        <w:spacing w:before="60" w:after="60"/>
      </w:pPr>
      <w:r>
        <w:t>Monitor company job postings quarterly — accelerating engineering hires signal product development momentum before it appears in revenue</w:t>
      </w:r>
    </w:p>
    <w:p w14:paraId="35B5207E" w14:textId="77777777" w:rsidR="00283B7B" w:rsidRDefault="00000000">
      <w:pPr>
        <w:pStyle w:val="ListParagraph"/>
        <w:numPr>
          <w:ilvl w:val="0"/>
          <w:numId w:val="1"/>
        </w:numPr>
        <w:spacing w:before="60" w:after="60"/>
      </w:pPr>
      <w:r>
        <w:t xml:space="preserve">Track </w:t>
      </w:r>
      <w:proofErr w:type="spellStart"/>
      <w:r>
        <w:t>glassdoor</w:t>
      </w:r>
      <w:proofErr w:type="spellEnd"/>
      <w:r>
        <w:t xml:space="preserve"> and similar platforms for management culture signals — employee sentiment is a leading indicator of execution quality</w:t>
      </w:r>
    </w:p>
    <w:p w14:paraId="00AC5FD0" w14:textId="77777777" w:rsidR="00283B7B" w:rsidRDefault="00000000">
      <w:pPr>
        <w:pStyle w:val="ListParagraph"/>
        <w:numPr>
          <w:ilvl w:val="0"/>
          <w:numId w:val="1"/>
        </w:numPr>
        <w:spacing w:before="60" w:after="60"/>
      </w:pPr>
      <w:r>
        <w:t>These are free or near-free data sources that provide genuine leading signal within the circle of competence</w:t>
      </w:r>
    </w:p>
    <w:p w14:paraId="6FE46076" w14:textId="77777777" w:rsidR="00283B7B" w:rsidRDefault="00283B7B">
      <w:pPr>
        <w:pBdr>
          <w:bottom w:val="single" w:sz="1" w:space="0" w:color="CCCCCC"/>
        </w:pBdr>
        <w:spacing w:before="200" w:after="200"/>
      </w:pPr>
    </w:p>
    <w:p w14:paraId="27558E06" w14:textId="77777777" w:rsidR="00283B7B" w:rsidRDefault="00000000">
      <w:pPr>
        <w:pStyle w:val="Heading1"/>
        <w:spacing w:before="400" w:after="200"/>
      </w:pPr>
      <w:r>
        <w:t xml:space="preserve">Area 4 — Thesis Evaluation Layer Not </w:t>
      </w:r>
      <w:proofErr w:type="spellStart"/>
      <w:r>
        <w:t>Backtested</w:t>
      </w:r>
      <w:proofErr w:type="spellEnd"/>
    </w:p>
    <w:p w14:paraId="1836447D" w14:textId="77777777" w:rsidR="00283B7B" w:rsidRDefault="00000000">
      <w:pPr>
        <w:pStyle w:val="Heading2"/>
        <w:spacing w:before="300" w:after="150"/>
      </w:pPr>
      <w:r>
        <w:t>The Gap</w:t>
      </w:r>
    </w:p>
    <w:p w14:paraId="74EE2DBF" w14:textId="77777777" w:rsidR="00283B7B" w:rsidRDefault="00000000">
      <w:pPr>
        <w:spacing w:before="100" w:after="100"/>
      </w:pPr>
      <w:r>
        <w:t xml:space="preserve">The mechanical concentration rules (Test 1) were </w:t>
      </w:r>
      <w:proofErr w:type="spellStart"/>
      <w:r>
        <w:t>backtested</w:t>
      </w:r>
      <w:proofErr w:type="spellEnd"/>
      <w:r>
        <w:t xml:space="preserve"> rigorously across five years of real portfolio data with specific quantitative results. The thesis evaluation layer — the graduated ratchet, the management credibility ledger, the stumble classification system — has been validated qualitatively across nine ENPH transcripts but not </w:t>
      </w:r>
      <w:proofErr w:type="spellStart"/>
      <w:r>
        <w:t>backtested</w:t>
      </w:r>
      <w:proofErr w:type="spellEnd"/>
      <w:r>
        <w:t xml:space="preserve"> quantitatively.</w:t>
      </w:r>
    </w:p>
    <w:p w14:paraId="705DFD62" w14:textId="77777777" w:rsidR="00283B7B" w:rsidRDefault="00000000">
      <w:pPr>
        <w:spacing w:before="100" w:after="100"/>
      </w:pPr>
      <w:r>
        <w:t>We do not know whether the thesis evaluation layer, applied systematically across a universe of companies over a 10-year period, produces better risk-adjusted returns than a simpler rule. The nine-transcript validation is a proof of concept, not a statistical proof of effectiveness.</w:t>
      </w:r>
    </w:p>
    <w:p w14:paraId="60CE8253" w14:textId="77777777" w:rsidR="00283B7B" w:rsidRDefault="00000000">
      <w:pPr>
        <w:pStyle w:val="Heading2"/>
        <w:spacing w:before="300" w:after="150"/>
      </w:pPr>
      <w:r>
        <w:lastRenderedPageBreak/>
        <w:t>Why It Matters</w:t>
      </w:r>
    </w:p>
    <w:p w14:paraId="6D6A8F61" w14:textId="77777777" w:rsidR="00283B7B" w:rsidRDefault="00000000">
      <w:pPr>
        <w:spacing w:before="100" w:after="100"/>
      </w:pPr>
      <w:r>
        <w:t xml:space="preserve">Without quantitative </w:t>
      </w:r>
      <w:proofErr w:type="spellStart"/>
      <w:r>
        <w:t>backtesting</w:t>
      </w:r>
      <w:proofErr w:type="spellEnd"/>
      <w:r>
        <w:t xml:space="preserve"> of the evaluation layer, we cannot distinguish between "this framework is genuinely better" and "this framework told a coherent story about a case we already knew the outcome of." The ENPH case is compelling precisely because we knew the outcome — which makes it susceptible to hindsight rationalization despite our best efforts to avoid it.</w:t>
      </w:r>
    </w:p>
    <w:p w14:paraId="2C0B654A" w14:textId="77777777" w:rsidR="00283B7B" w:rsidRDefault="00000000">
      <w:pPr>
        <w:pStyle w:val="Heading2"/>
        <w:spacing w:before="300" w:after="150"/>
      </w:pPr>
      <w:r>
        <w:t>Future Improvement</w:t>
      </w:r>
    </w:p>
    <w:p w14:paraId="4C3994AF" w14:textId="77777777" w:rsidR="00283B7B" w:rsidRDefault="00000000">
      <w:pPr>
        <w:pStyle w:val="ListParagraph"/>
        <w:numPr>
          <w:ilvl w:val="0"/>
          <w:numId w:val="1"/>
        </w:numPr>
        <w:spacing w:before="60" w:after="60"/>
      </w:pPr>
      <w:r>
        <w:t>Select a universe of 20-30 companies within the circle of competence that had significant price movements (both positive and negative) over the past 10 years</w:t>
      </w:r>
    </w:p>
    <w:p w14:paraId="5809DE61" w14:textId="77777777" w:rsidR="00283B7B" w:rsidRDefault="00000000">
      <w:pPr>
        <w:pStyle w:val="ListParagraph"/>
        <w:numPr>
          <w:ilvl w:val="0"/>
          <w:numId w:val="1"/>
        </w:numPr>
        <w:spacing w:before="60" w:after="60"/>
      </w:pPr>
      <w:r>
        <w:t>Apply the thesis evaluation framework to their historical earnings calls using the same anonymization and blind analysis protocol we used for ENPH</w:t>
      </w:r>
    </w:p>
    <w:p w14:paraId="0DA52328" w14:textId="77777777" w:rsidR="00283B7B" w:rsidRDefault="00000000">
      <w:pPr>
        <w:pStyle w:val="ListParagraph"/>
        <w:numPr>
          <w:ilvl w:val="0"/>
          <w:numId w:val="1"/>
        </w:numPr>
        <w:spacing w:before="60" w:after="60"/>
      </w:pPr>
      <w:r>
        <w:t>Measure: how often did a Weakening score precede continued price decline versus recovery? How often did the graduated ratchet produce better outcomes than holding?</w:t>
      </w:r>
    </w:p>
    <w:p w14:paraId="134268EF" w14:textId="77777777" w:rsidR="00283B7B" w:rsidRDefault="00000000">
      <w:pPr>
        <w:pStyle w:val="ListParagraph"/>
        <w:numPr>
          <w:ilvl w:val="0"/>
          <w:numId w:val="1"/>
        </w:numPr>
        <w:spacing w:before="60" w:after="60"/>
      </w:pPr>
      <w:r>
        <w:t>This is a significant undertaking — roughly 100-150 transcript evaluations — but it is the only way to move from "framework that makes sense" to "framework with demonstrated predictive validity"</w:t>
      </w:r>
    </w:p>
    <w:p w14:paraId="75C06386" w14:textId="77777777" w:rsidR="00283B7B" w:rsidRDefault="00000000">
      <w:pPr>
        <w:pStyle w:val="ListParagraph"/>
        <w:numPr>
          <w:ilvl w:val="0"/>
          <w:numId w:val="1"/>
        </w:numPr>
        <w:spacing w:before="60" w:after="60"/>
      </w:pPr>
      <w:r>
        <w:t>A partial version: apply the framework prospectively to current positions starting now and track outcomes over 2-3 years</w:t>
      </w:r>
    </w:p>
    <w:p w14:paraId="70B70F8D" w14:textId="77777777" w:rsidR="00283B7B" w:rsidRDefault="00283B7B">
      <w:pPr>
        <w:pBdr>
          <w:bottom w:val="single" w:sz="1" w:space="0" w:color="CCCCCC"/>
        </w:pBdr>
        <w:spacing w:before="200" w:after="200"/>
      </w:pPr>
    </w:p>
    <w:p w14:paraId="39DC8870" w14:textId="77777777" w:rsidR="00283B7B" w:rsidRDefault="00000000">
      <w:pPr>
        <w:pStyle w:val="Heading1"/>
        <w:spacing w:before="400" w:after="200"/>
      </w:pPr>
      <w:r>
        <w:t>Area 5 — Single-Manager Risk with No Independent Challenge</w:t>
      </w:r>
    </w:p>
    <w:p w14:paraId="5C6B0009" w14:textId="77777777" w:rsidR="00283B7B" w:rsidRDefault="00000000">
      <w:pPr>
        <w:pStyle w:val="Heading2"/>
        <w:spacing w:before="300" w:after="150"/>
      </w:pPr>
      <w:r>
        <w:t>The Gap</w:t>
      </w:r>
    </w:p>
    <w:p w14:paraId="0FED40D3" w14:textId="77777777" w:rsidR="00283B7B" w:rsidRDefault="00000000">
      <w:pPr>
        <w:spacing w:before="100" w:after="100"/>
      </w:pPr>
      <w:r>
        <w:t>The framework is designed around one investor's judgment, one investor's blind spots, and one investor's circle of competence. The blind spot documentation (five specific patterns) and the bear case template provide some self-challenge, but there is no genuine independent perspective built into the process.</w:t>
      </w:r>
    </w:p>
    <w:p w14:paraId="1BDC932E" w14:textId="77777777" w:rsidR="00283B7B" w:rsidRDefault="00000000">
      <w:pPr>
        <w:spacing w:before="100" w:after="100"/>
      </w:pPr>
      <w:r>
        <w:t>Professional investment funds have investment committees, devil's advocate roles, and independent risk officers specifically because single-manager frameworks are vulnerable to single-manager blind spots in ways that the manager cannot see from the inside. Our framework compensates for identified blind spots but cannot compensate for blind spots we haven't identified.</w:t>
      </w:r>
    </w:p>
    <w:p w14:paraId="78070BD9" w14:textId="77777777" w:rsidR="00283B7B" w:rsidRDefault="00000000">
      <w:pPr>
        <w:pStyle w:val="Heading2"/>
        <w:spacing w:before="300" w:after="150"/>
      </w:pPr>
      <w:r>
        <w:t>Why It Matters</w:t>
      </w:r>
    </w:p>
    <w:p w14:paraId="415E7041" w14:textId="77777777" w:rsidR="00283B7B" w:rsidRDefault="00000000">
      <w:pPr>
        <w:spacing w:before="100" w:after="100"/>
      </w:pPr>
      <w:r>
        <w:t>The five blind spots documented in the framework were identified through extended self-reflection and careful analysis of one specific investment history. There may be additional systematic patterns — in sector selection, in management assessment, in macro timing — that are not visible from a single case study and have not yet been identified.</w:t>
      </w:r>
    </w:p>
    <w:p w14:paraId="5F054128" w14:textId="77777777" w:rsidR="00283B7B" w:rsidRDefault="00000000">
      <w:pPr>
        <w:spacing w:before="100" w:after="100"/>
      </w:pPr>
      <w:r>
        <w:t>More practically: the bear case template requires you to fill it out honestly. There is no structural guarantee that it will be filled out honestly under conditions of high conviction and emotional attachment — which is precisely when honest self-assessment is hardest.</w:t>
      </w:r>
    </w:p>
    <w:p w14:paraId="67A189AC" w14:textId="77777777" w:rsidR="00283B7B" w:rsidRDefault="00000000">
      <w:pPr>
        <w:pStyle w:val="Heading2"/>
        <w:spacing w:before="300" w:after="150"/>
      </w:pPr>
      <w:r>
        <w:t>Future Improvement</w:t>
      </w:r>
    </w:p>
    <w:p w14:paraId="3B2B8C23" w14:textId="77777777" w:rsidR="00283B7B" w:rsidRDefault="00000000">
      <w:pPr>
        <w:pStyle w:val="ListParagraph"/>
        <w:numPr>
          <w:ilvl w:val="0"/>
          <w:numId w:val="1"/>
        </w:numPr>
        <w:spacing w:before="60" w:after="60"/>
      </w:pPr>
      <w:r>
        <w:lastRenderedPageBreak/>
        <w:t>Identify one or two trusted investment peers — people with relevant domain knowledge who will genuinely challenge positions rather than validate them — and share the bear case template with them quarterly for high-conviction positions above 15%</w:t>
      </w:r>
    </w:p>
    <w:p w14:paraId="10ABEFD6" w14:textId="77777777" w:rsidR="00283B7B" w:rsidRDefault="00000000">
      <w:pPr>
        <w:pStyle w:val="ListParagraph"/>
        <w:numPr>
          <w:ilvl w:val="0"/>
          <w:numId w:val="1"/>
        </w:numPr>
        <w:spacing w:before="60" w:after="60"/>
      </w:pPr>
      <w:r>
        <w:t>Consider a formal "pre-mortem" process for any new position above 10%: before buying, write a one-page document explaining exactly how this investment could fail, and share it with a trusted challenger before committing capital</w:t>
      </w:r>
    </w:p>
    <w:p w14:paraId="2F1CA568" w14:textId="77777777" w:rsidR="00283B7B" w:rsidRDefault="00000000">
      <w:pPr>
        <w:pStyle w:val="ListParagraph"/>
        <w:numPr>
          <w:ilvl w:val="0"/>
          <w:numId w:val="1"/>
        </w:numPr>
        <w:spacing w:before="60" w:after="60"/>
      </w:pPr>
      <w:r>
        <w:t>Track override decisions — whenever the framework recommends action and you override it, log the reason and review outcomes quarterly. This is already designed into the framework but requires discipline to execute</w:t>
      </w:r>
    </w:p>
    <w:p w14:paraId="79025740" w14:textId="77777777" w:rsidR="00283B7B" w:rsidRDefault="00000000">
      <w:pPr>
        <w:pStyle w:val="ListParagraph"/>
        <w:numPr>
          <w:ilvl w:val="0"/>
          <w:numId w:val="1"/>
        </w:numPr>
        <w:spacing w:before="60" w:after="60"/>
      </w:pPr>
      <w:r>
        <w:t>As the application matures, consider adding a second AI evaluation pass with a deliberately adversarial prompt: "construct the strongest possible case that this position should be exited immediately." Compare to the standard evaluation and explain any divergence</w:t>
      </w:r>
    </w:p>
    <w:p w14:paraId="69DA3599" w14:textId="77777777" w:rsidR="00283B7B" w:rsidRDefault="00283B7B">
      <w:pPr>
        <w:pBdr>
          <w:bottom w:val="single" w:sz="1" w:space="0" w:color="CCCCCC"/>
        </w:pBdr>
        <w:spacing w:before="200" w:after="200"/>
      </w:pPr>
    </w:p>
    <w:p w14:paraId="73471874" w14:textId="77777777" w:rsidR="00283B7B" w:rsidRDefault="00000000">
      <w:pPr>
        <w:pStyle w:val="Heading1"/>
        <w:spacing w:before="400" w:after="200"/>
      </w:pPr>
      <w:r>
        <w:t>Area 6 — Circle of Competence Boundary Not Formally Defined</w:t>
      </w:r>
    </w:p>
    <w:p w14:paraId="09820D3C" w14:textId="77777777" w:rsidR="00283B7B" w:rsidRDefault="00000000">
      <w:pPr>
        <w:pStyle w:val="Heading2"/>
        <w:spacing w:before="300" w:after="150"/>
      </w:pPr>
      <w:r>
        <w:t>The Gap</w:t>
      </w:r>
    </w:p>
    <w:p w14:paraId="5D426A45" w14:textId="77777777" w:rsidR="00283B7B" w:rsidRDefault="00000000">
      <w:pPr>
        <w:spacing w:before="100" w:after="100"/>
      </w:pPr>
      <w:r>
        <w:t xml:space="preserve">The circle of competence is defined as: renewable energy, energy storage, defense technology, semiconductors, IT/software/cloud, and cryptocurrencies. This is a reasonable starting </w:t>
      </w:r>
      <w:proofErr w:type="gramStart"/>
      <w:r>
        <w:t>definition</w:t>
      </w:r>
      <w:proofErr w:type="gramEnd"/>
      <w:r>
        <w:t xml:space="preserve"> but it has not been formally tested — we do not have evidence that investment decisions within this circle </w:t>
      </w:r>
      <w:proofErr w:type="gramStart"/>
      <w:r>
        <w:t>actually outperform</w:t>
      </w:r>
      <w:proofErr w:type="gramEnd"/>
      <w:r>
        <w:t xml:space="preserve"> decisions outside it, or that the boundary is drawn at the right level of specificity.</w:t>
      </w:r>
    </w:p>
    <w:p w14:paraId="57F3D11A" w14:textId="77777777" w:rsidR="00283B7B" w:rsidRDefault="00000000">
      <w:pPr>
        <w:spacing w:before="100" w:after="100"/>
      </w:pPr>
      <w:r>
        <w:t>For example: "semiconductors" is a broad category. The genuine edge may be specifically in power semiconductors relevant to energy transition (</w:t>
      </w:r>
      <w:proofErr w:type="spellStart"/>
      <w:r>
        <w:t>SiC</w:t>
      </w:r>
      <w:proofErr w:type="spellEnd"/>
      <w:r>
        <w:t xml:space="preserve">, </w:t>
      </w:r>
      <w:proofErr w:type="spellStart"/>
      <w:r>
        <w:t>GaN</w:t>
      </w:r>
      <w:proofErr w:type="spellEnd"/>
      <w:r>
        <w:t>) rather than in logic chips or memory. "IT/software" is extremely broad. The actual edge may be specifically in infrastructure software relevant to energy management or defense applications.</w:t>
      </w:r>
    </w:p>
    <w:p w14:paraId="3FA9ABD6" w14:textId="77777777" w:rsidR="00283B7B" w:rsidRDefault="00000000">
      <w:pPr>
        <w:pStyle w:val="Heading2"/>
        <w:spacing w:before="300" w:after="150"/>
      </w:pPr>
      <w:r>
        <w:t>Why It Matters</w:t>
      </w:r>
    </w:p>
    <w:p w14:paraId="6B31FEF7" w14:textId="77777777" w:rsidR="00283B7B" w:rsidRDefault="00000000">
      <w:pPr>
        <w:spacing w:before="100" w:after="100"/>
      </w:pPr>
      <w:r>
        <w:t xml:space="preserve">An overly broad circle of competence creates false confidence. If the circle includes categories where there is no genuine edge, Layer 3 may surface candidates that appear to be within the circle but </w:t>
      </w:r>
      <w:proofErr w:type="gramStart"/>
      <w:r>
        <w:t>actually require</w:t>
      </w:r>
      <w:proofErr w:type="gramEnd"/>
      <w:r>
        <w:t xml:space="preserve"> expertise that does not exist. The framework's protection against recommending outside the circle only works if the circle itself is accurately defined.</w:t>
      </w:r>
    </w:p>
    <w:p w14:paraId="780F3BD8" w14:textId="77777777" w:rsidR="00283B7B" w:rsidRDefault="00000000">
      <w:pPr>
        <w:pStyle w:val="Heading2"/>
        <w:spacing w:before="300" w:after="150"/>
      </w:pPr>
      <w:r>
        <w:t>Future Improvement</w:t>
      </w:r>
    </w:p>
    <w:p w14:paraId="7B77BFE2" w14:textId="77777777" w:rsidR="00283B7B" w:rsidRDefault="00000000">
      <w:pPr>
        <w:pStyle w:val="ListParagraph"/>
        <w:numPr>
          <w:ilvl w:val="0"/>
          <w:numId w:val="1"/>
        </w:numPr>
        <w:spacing w:before="60" w:after="60"/>
      </w:pPr>
      <w:r>
        <w:t xml:space="preserve">Conduct an honest audit of historical investment decisions: for each position held over the past 10 years, assess whether the outcome was better or worse than a passive index of the same sector. This reveals which parts of the stated circle </w:t>
      </w:r>
      <w:proofErr w:type="gramStart"/>
      <w:r>
        <w:t>actually produced</w:t>
      </w:r>
      <w:proofErr w:type="gramEnd"/>
      <w:r>
        <w:t xml:space="preserve"> edge versus which parts underperformed passive exposure</w:t>
      </w:r>
    </w:p>
    <w:p w14:paraId="3C092907" w14:textId="77777777" w:rsidR="00283B7B" w:rsidRDefault="00000000">
      <w:pPr>
        <w:pStyle w:val="ListParagraph"/>
        <w:numPr>
          <w:ilvl w:val="0"/>
          <w:numId w:val="1"/>
        </w:numPr>
        <w:spacing w:before="60" w:after="60"/>
      </w:pPr>
      <w:r>
        <w:t>Narrow the circle based on that audit — a smaller, more accurate circle is more valuable than a larger, less accurate one</w:t>
      </w:r>
    </w:p>
    <w:p w14:paraId="4677C8FC" w14:textId="77777777" w:rsidR="00283B7B" w:rsidRDefault="00000000">
      <w:pPr>
        <w:pStyle w:val="ListParagraph"/>
        <w:numPr>
          <w:ilvl w:val="0"/>
          <w:numId w:val="1"/>
        </w:numPr>
        <w:spacing w:before="60" w:after="60"/>
      </w:pPr>
      <w:r>
        <w:t>Distinguish between "I understand this industry well enough to evaluate management" (a genuine edge) and "I follow this industry in the news" (not an edge). The former justifies inclusion in the circle; the latter does not</w:t>
      </w:r>
    </w:p>
    <w:p w14:paraId="7C664469" w14:textId="77777777" w:rsidR="00283B7B" w:rsidRDefault="00000000">
      <w:pPr>
        <w:pStyle w:val="ListParagraph"/>
        <w:numPr>
          <w:ilvl w:val="0"/>
          <w:numId w:val="1"/>
        </w:numPr>
        <w:spacing w:before="60" w:after="60"/>
      </w:pPr>
      <w:r>
        <w:t>Revisit the circle definition annually as experience and knowledge evolve</w:t>
      </w:r>
    </w:p>
    <w:p w14:paraId="7A5B5A51" w14:textId="77777777" w:rsidR="00283B7B" w:rsidRDefault="00283B7B">
      <w:pPr>
        <w:pBdr>
          <w:bottom w:val="single" w:sz="1" w:space="0" w:color="CCCCCC"/>
        </w:pBdr>
        <w:spacing w:before="200" w:after="200"/>
      </w:pPr>
    </w:p>
    <w:p w14:paraId="1DA4BE1A" w14:textId="77777777" w:rsidR="00283B7B" w:rsidRDefault="00000000">
      <w:pPr>
        <w:pStyle w:val="Heading1"/>
        <w:spacing w:before="400" w:after="200"/>
      </w:pPr>
      <w:r>
        <w:lastRenderedPageBreak/>
        <w:t>Area 7 — No Systematic Macro Overlay</w:t>
      </w:r>
    </w:p>
    <w:p w14:paraId="541DBBD8" w14:textId="77777777" w:rsidR="00283B7B" w:rsidRDefault="00000000">
      <w:pPr>
        <w:pStyle w:val="Heading2"/>
        <w:spacing w:before="300" w:after="150"/>
      </w:pPr>
      <w:r>
        <w:t>The Gap</w:t>
      </w:r>
    </w:p>
    <w:p w14:paraId="13BC237D" w14:textId="77777777" w:rsidR="00283B7B" w:rsidRDefault="00000000">
      <w:pPr>
        <w:spacing w:before="100" w:after="100"/>
      </w:pPr>
      <w:r>
        <w:t>The framework evaluates individual companies and manages position sizing, but it has no systematic view of the macro environment. It does not adjust overall portfolio risk level based on market conditions — it applies the same concentration rules and thesis evaluation in a bull market, a bear market, rising rates, or a credit crisis.</w:t>
      </w:r>
    </w:p>
    <w:p w14:paraId="33AA39F8" w14:textId="77777777" w:rsidR="00283B7B" w:rsidRDefault="00000000">
      <w:pPr>
        <w:spacing w:before="100" w:after="100"/>
      </w:pPr>
      <w:r>
        <w:t>The ENPH experience illustrates this gap: rising interest rates in 2022-2023 impaired solar loan economics across the entire Western Region market regardless of ENPH's company-specific execution. A macro overlay would have flagged rising rates as a headwind to the entire residential solar thesis months before it appeared in earnings call language.</w:t>
      </w:r>
    </w:p>
    <w:p w14:paraId="247EA47B" w14:textId="77777777" w:rsidR="00283B7B" w:rsidRDefault="00000000">
      <w:pPr>
        <w:pStyle w:val="Heading2"/>
        <w:spacing w:before="300" w:after="150"/>
      </w:pPr>
      <w:r>
        <w:t>Why It Matters</w:t>
      </w:r>
    </w:p>
    <w:p w14:paraId="2978BDCE" w14:textId="77777777" w:rsidR="00283B7B" w:rsidRDefault="00000000">
      <w:pPr>
        <w:spacing w:before="100" w:after="100"/>
      </w:pPr>
      <w:r>
        <w:t>Sector-specific investments are not immune to macro conditions. Energy storage adoption depends on interest rates (financing costs for large projects), regulatory environment (IRA, NDAA, net metering policy), and commodity prices (lithium, cobalt, copper). Defense technology depends on budget cycles and geopolitical conditions. Ignoring these macro variables means the framework can be correct about individual company execution while being wrong about the timing of the investment.</w:t>
      </w:r>
    </w:p>
    <w:p w14:paraId="18164761" w14:textId="77777777" w:rsidR="00283B7B" w:rsidRDefault="00000000">
      <w:pPr>
        <w:pStyle w:val="Heading2"/>
        <w:spacing w:before="300" w:after="150"/>
      </w:pPr>
      <w:r>
        <w:t>Future Improvement</w:t>
      </w:r>
    </w:p>
    <w:p w14:paraId="29BD08EA" w14:textId="77777777" w:rsidR="00283B7B" w:rsidRDefault="00000000">
      <w:pPr>
        <w:pStyle w:val="ListParagraph"/>
        <w:numPr>
          <w:ilvl w:val="0"/>
          <w:numId w:val="1"/>
        </w:numPr>
        <w:spacing w:before="60" w:after="60"/>
      </w:pPr>
      <w:r>
        <w:t>Define 3-5 macro variables that are specifically relevant to the circle of competence and monitor them quarterly:</w:t>
      </w:r>
    </w:p>
    <w:p w14:paraId="540BC715" w14:textId="77777777" w:rsidR="00283B7B" w:rsidRDefault="00000000">
      <w:pPr>
        <w:pStyle w:val="ListParagraph"/>
        <w:numPr>
          <w:ilvl w:val="1"/>
          <w:numId w:val="1"/>
        </w:numPr>
        <w:spacing w:before="40" w:after="40"/>
      </w:pPr>
      <w:r>
        <w:t>Interest rate environment: impact on project financing for energy storage and solar</w:t>
      </w:r>
    </w:p>
    <w:p w14:paraId="62E154CE" w14:textId="77777777" w:rsidR="00283B7B" w:rsidRDefault="00000000">
      <w:pPr>
        <w:pStyle w:val="ListParagraph"/>
        <w:numPr>
          <w:ilvl w:val="1"/>
          <w:numId w:val="1"/>
        </w:numPr>
        <w:spacing w:before="40" w:after="40"/>
      </w:pPr>
      <w:r>
        <w:t>Federal energy policy: IRA implementation status, NDAA compliance requirements, net metering regulatory trends</w:t>
      </w:r>
    </w:p>
    <w:p w14:paraId="797F5D6A" w14:textId="77777777" w:rsidR="00283B7B" w:rsidRDefault="00000000">
      <w:pPr>
        <w:pStyle w:val="ListParagraph"/>
        <w:numPr>
          <w:ilvl w:val="1"/>
          <w:numId w:val="1"/>
        </w:numPr>
        <w:spacing w:before="40" w:after="40"/>
      </w:pPr>
      <w:r>
        <w:t>Critical mineral prices: lithium carbonate, cobalt, copper — input cost signals for battery companies</w:t>
      </w:r>
    </w:p>
    <w:p w14:paraId="262FB202" w14:textId="77777777" w:rsidR="00283B7B" w:rsidRDefault="00000000">
      <w:pPr>
        <w:pStyle w:val="ListParagraph"/>
        <w:numPr>
          <w:ilvl w:val="1"/>
          <w:numId w:val="1"/>
        </w:numPr>
        <w:spacing w:before="40" w:after="40"/>
      </w:pPr>
      <w:r>
        <w:t>Defense budget trajectory: DoD procurement priorities and drone program funding</w:t>
      </w:r>
    </w:p>
    <w:p w14:paraId="0ECCAC01" w14:textId="77777777" w:rsidR="00283B7B" w:rsidRDefault="00000000">
      <w:pPr>
        <w:pStyle w:val="ListParagraph"/>
        <w:numPr>
          <w:ilvl w:val="0"/>
          <w:numId w:val="1"/>
        </w:numPr>
        <w:spacing w:before="60" w:after="60"/>
      </w:pPr>
      <w:r>
        <w:t>When macro conditions are materially adverse for the circle of competence, reduce overall position sizing across the circle by 20-30% regardless of individual company thesis health</w:t>
      </w:r>
    </w:p>
    <w:p w14:paraId="5CEF5B75" w14:textId="77777777" w:rsidR="00283B7B" w:rsidRDefault="00000000">
      <w:pPr>
        <w:pStyle w:val="ListParagraph"/>
        <w:numPr>
          <w:ilvl w:val="0"/>
          <w:numId w:val="1"/>
        </w:numPr>
        <w:spacing w:before="60" w:after="60"/>
      </w:pPr>
      <w:r>
        <w:t>This is not market timing — it is acknowledging that sector-specific tailwinds and headwinds exist and affect even the best-positioned companies within the sector</w:t>
      </w:r>
    </w:p>
    <w:p w14:paraId="65948113" w14:textId="77777777" w:rsidR="00283B7B" w:rsidRDefault="00283B7B">
      <w:pPr>
        <w:pBdr>
          <w:bottom w:val="single" w:sz="1" w:space="0" w:color="CCCCCC"/>
        </w:pBdr>
        <w:spacing w:before="200" w:after="200"/>
      </w:pPr>
    </w:p>
    <w:p w14:paraId="0D28B37C" w14:textId="77777777" w:rsidR="00283B7B" w:rsidRDefault="00000000">
      <w:pPr>
        <w:pStyle w:val="Heading1"/>
        <w:spacing w:before="400" w:after="200"/>
      </w:pPr>
      <w:r>
        <w:t>Summary — Prioritized Improvement Roadmap</w:t>
      </w:r>
    </w:p>
    <w:p w14:paraId="6D7A6001" w14:textId="77777777" w:rsidR="00283B7B" w:rsidRDefault="00000000">
      <w:pPr>
        <w:spacing w:before="100" w:after="100"/>
      </w:pPr>
      <w:r>
        <w:t>The seven areas above are not equally important or equally tractable. Here is a prioritized view of which improvements to pursue first and why.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3156"/>
        <w:gridCol w:w="1352"/>
        <w:gridCol w:w="1352"/>
        <w:gridCol w:w="2254"/>
      </w:tblGrid>
      <w:tr w:rsidR="00283B7B" w14:paraId="1BD4CE51" w14:textId="77777777">
        <w:tblPrEx>
          <w:tblCellMar>
            <w:top w:w="0" w:type="dxa"/>
            <w:bottom w:w="0" w:type="dxa"/>
          </w:tblCellMar>
        </w:tblPrEx>
        <w:tc>
          <w:tcPr>
            <w:tcW w:w="500" w:type="pct"/>
            <w:shd w:val="solid" w:color="E8EEF8" w:fill="auto"/>
          </w:tcPr>
          <w:p w14:paraId="0AC1FCE7" w14:textId="77777777" w:rsidR="00283B7B" w:rsidRDefault="00000000">
            <w:r>
              <w:rPr>
                <w:b/>
                <w:bCs/>
              </w:rPr>
              <w:t>Priority</w:t>
            </w:r>
          </w:p>
        </w:tc>
        <w:tc>
          <w:tcPr>
            <w:tcW w:w="1750" w:type="pct"/>
            <w:shd w:val="solid" w:color="E8EEF8" w:fill="auto"/>
          </w:tcPr>
          <w:p w14:paraId="4F0FEB08" w14:textId="77777777" w:rsidR="00283B7B" w:rsidRDefault="00000000">
            <w:r>
              <w:rPr>
                <w:b/>
                <w:bCs/>
              </w:rPr>
              <w:t>Area</w:t>
            </w:r>
          </w:p>
        </w:tc>
        <w:tc>
          <w:tcPr>
            <w:tcW w:w="750" w:type="pct"/>
            <w:shd w:val="solid" w:color="E8EEF8" w:fill="auto"/>
          </w:tcPr>
          <w:p w14:paraId="30B865D4" w14:textId="77777777" w:rsidR="00283B7B" w:rsidRDefault="00000000">
            <w:r>
              <w:rPr>
                <w:b/>
                <w:bCs/>
              </w:rPr>
              <w:t>Effort</w:t>
            </w:r>
          </w:p>
        </w:tc>
        <w:tc>
          <w:tcPr>
            <w:tcW w:w="750" w:type="pct"/>
            <w:shd w:val="solid" w:color="E8EEF8" w:fill="auto"/>
          </w:tcPr>
          <w:p w14:paraId="2D273A47" w14:textId="77777777" w:rsidR="00283B7B" w:rsidRDefault="00000000">
            <w:r>
              <w:rPr>
                <w:b/>
                <w:bCs/>
              </w:rPr>
              <w:t>Impact</w:t>
            </w:r>
          </w:p>
        </w:tc>
        <w:tc>
          <w:tcPr>
            <w:tcW w:w="1250" w:type="pct"/>
            <w:shd w:val="solid" w:color="E8EEF8" w:fill="auto"/>
          </w:tcPr>
          <w:p w14:paraId="54F37B7A" w14:textId="77777777" w:rsidR="00283B7B" w:rsidRDefault="00000000">
            <w:r>
              <w:rPr>
                <w:b/>
                <w:bCs/>
              </w:rPr>
              <w:t>When</w:t>
            </w:r>
          </w:p>
        </w:tc>
      </w:tr>
      <w:tr w:rsidR="00283B7B" w14:paraId="5EC81F40" w14:textId="77777777">
        <w:tblPrEx>
          <w:tblCellMar>
            <w:top w:w="0" w:type="dxa"/>
            <w:bottom w:w="0" w:type="dxa"/>
          </w:tblCellMar>
        </w:tblPrEx>
        <w:tc>
          <w:tcPr>
            <w:tcW w:w="0" w:type="auto"/>
          </w:tcPr>
          <w:p w14:paraId="4DFBA87B" w14:textId="77777777" w:rsidR="00283B7B" w:rsidRDefault="00000000">
            <w:pPr>
              <w:spacing w:before="100" w:after="100"/>
            </w:pPr>
            <w:r>
              <w:t>1</w:t>
            </w:r>
          </w:p>
        </w:tc>
        <w:tc>
          <w:tcPr>
            <w:tcW w:w="0" w:type="auto"/>
          </w:tcPr>
          <w:p w14:paraId="4A7B5338" w14:textId="77777777" w:rsidR="00283B7B" w:rsidRDefault="00000000">
            <w:pPr>
              <w:spacing w:before="100" w:after="100"/>
            </w:pPr>
            <w:r>
              <w:t>Independent challenge — trusted peer review on positions above 15%</w:t>
            </w:r>
          </w:p>
        </w:tc>
        <w:tc>
          <w:tcPr>
            <w:tcW w:w="0" w:type="auto"/>
          </w:tcPr>
          <w:p w14:paraId="783471B1" w14:textId="77777777" w:rsidR="00283B7B" w:rsidRDefault="00000000">
            <w:pPr>
              <w:spacing w:before="100" w:after="100"/>
            </w:pPr>
            <w:r>
              <w:t>Low</w:t>
            </w:r>
          </w:p>
        </w:tc>
        <w:tc>
          <w:tcPr>
            <w:tcW w:w="0" w:type="auto"/>
          </w:tcPr>
          <w:p w14:paraId="0EFA9827" w14:textId="77777777" w:rsidR="00283B7B" w:rsidRDefault="00000000">
            <w:pPr>
              <w:spacing w:before="100" w:after="100"/>
            </w:pPr>
            <w:r>
              <w:t>High</w:t>
            </w:r>
          </w:p>
        </w:tc>
        <w:tc>
          <w:tcPr>
            <w:tcW w:w="0" w:type="auto"/>
          </w:tcPr>
          <w:p w14:paraId="3EABC598" w14:textId="77777777" w:rsidR="00283B7B" w:rsidRDefault="00000000">
            <w:pPr>
              <w:spacing w:before="100" w:after="100"/>
            </w:pPr>
            <w:r>
              <w:t>Immediately — before next major position decision</w:t>
            </w:r>
          </w:p>
        </w:tc>
      </w:tr>
      <w:tr w:rsidR="00283B7B" w14:paraId="5E7EB4F1" w14:textId="77777777">
        <w:tblPrEx>
          <w:tblCellMar>
            <w:top w:w="0" w:type="dxa"/>
            <w:bottom w:w="0" w:type="dxa"/>
          </w:tblCellMar>
        </w:tblPrEx>
        <w:tc>
          <w:tcPr>
            <w:tcW w:w="0" w:type="auto"/>
          </w:tcPr>
          <w:p w14:paraId="3E63BB95" w14:textId="77777777" w:rsidR="00283B7B" w:rsidRDefault="00000000">
            <w:pPr>
              <w:spacing w:before="100" w:after="100"/>
            </w:pPr>
            <w:r>
              <w:lastRenderedPageBreak/>
              <w:t>2</w:t>
            </w:r>
          </w:p>
        </w:tc>
        <w:tc>
          <w:tcPr>
            <w:tcW w:w="0" w:type="auto"/>
          </w:tcPr>
          <w:p w14:paraId="13201B19" w14:textId="77777777" w:rsidR="00283B7B" w:rsidRDefault="00000000">
            <w:pPr>
              <w:spacing w:before="100" w:after="100"/>
            </w:pPr>
            <w:r>
              <w:t>Macro overlay — 3-5 sector-specific macro variables monitored quarterly</w:t>
            </w:r>
          </w:p>
        </w:tc>
        <w:tc>
          <w:tcPr>
            <w:tcW w:w="0" w:type="auto"/>
          </w:tcPr>
          <w:p w14:paraId="51BC4AFF" w14:textId="77777777" w:rsidR="00283B7B" w:rsidRDefault="00000000">
            <w:pPr>
              <w:spacing w:before="100" w:after="100"/>
            </w:pPr>
            <w:r>
              <w:t>Low</w:t>
            </w:r>
          </w:p>
        </w:tc>
        <w:tc>
          <w:tcPr>
            <w:tcW w:w="0" w:type="auto"/>
          </w:tcPr>
          <w:p w14:paraId="3F960C54" w14:textId="77777777" w:rsidR="00283B7B" w:rsidRDefault="00000000">
            <w:pPr>
              <w:spacing w:before="100" w:after="100"/>
            </w:pPr>
            <w:r>
              <w:t>High</w:t>
            </w:r>
          </w:p>
        </w:tc>
        <w:tc>
          <w:tcPr>
            <w:tcW w:w="0" w:type="auto"/>
          </w:tcPr>
          <w:p w14:paraId="7A63B75F" w14:textId="77777777" w:rsidR="00283B7B" w:rsidRDefault="00000000">
            <w:pPr>
              <w:spacing w:before="100" w:after="100"/>
            </w:pPr>
            <w:r>
              <w:t>Q2 2026 — before next quarterly rebalance</w:t>
            </w:r>
          </w:p>
        </w:tc>
      </w:tr>
      <w:tr w:rsidR="00283B7B" w14:paraId="578AE367" w14:textId="77777777">
        <w:tblPrEx>
          <w:tblCellMar>
            <w:top w:w="0" w:type="dxa"/>
            <w:bottom w:w="0" w:type="dxa"/>
          </w:tblCellMar>
        </w:tblPrEx>
        <w:tc>
          <w:tcPr>
            <w:tcW w:w="0" w:type="auto"/>
          </w:tcPr>
          <w:p w14:paraId="3DF05DF0" w14:textId="77777777" w:rsidR="00283B7B" w:rsidRDefault="00000000">
            <w:pPr>
              <w:spacing w:before="100" w:after="100"/>
            </w:pPr>
            <w:r>
              <w:t>3</w:t>
            </w:r>
          </w:p>
        </w:tc>
        <w:tc>
          <w:tcPr>
            <w:tcW w:w="0" w:type="auto"/>
          </w:tcPr>
          <w:p w14:paraId="4950989A" w14:textId="77777777" w:rsidR="00283B7B" w:rsidRDefault="00000000">
            <w:pPr>
              <w:spacing w:before="100" w:after="100"/>
            </w:pPr>
            <w:r>
              <w:t>Circle of competence audit — historical performance by sector</w:t>
            </w:r>
          </w:p>
        </w:tc>
        <w:tc>
          <w:tcPr>
            <w:tcW w:w="0" w:type="auto"/>
          </w:tcPr>
          <w:p w14:paraId="33FB32AC" w14:textId="77777777" w:rsidR="00283B7B" w:rsidRDefault="00000000">
            <w:pPr>
              <w:spacing w:before="100" w:after="100"/>
            </w:pPr>
            <w:r>
              <w:t>Medium</w:t>
            </w:r>
          </w:p>
        </w:tc>
        <w:tc>
          <w:tcPr>
            <w:tcW w:w="0" w:type="auto"/>
          </w:tcPr>
          <w:p w14:paraId="46D3CB72" w14:textId="77777777" w:rsidR="00283B7B" w:rsidRDefault="00000000">
            <w:pPr>
              <w:spacing w:before="100" w:after="100"/>
            </w:pPr>
            <w:r>
              <w:t>High</w:t>
            </w:r>
          </w:p>
        </w:tc>
        <w:tc>
          <w:tcPr>
            <w:tcW w:w="0" w:type="auto"/>
          </w:tcPr>
          <w:p w14:paraId="4630C1E2" w14:textId="77777777" w:rsidR="00283B7B" w:rsidRDefault="00000000">
            <w:pPr>
              <w:spacing w:before="100" w:after="100"/>
            </w:pPr>
            <w:r>
              <w:t>Q3 2026 — requires trade history review</w:t>
            </w:r>
          </w:p>
        </w:tc>
      </w:tr>
      <w:tr w:rsidR="00283B7B" w14:paraId="7D3F8196" w14:textId="77777777">
        <w:tblPrEx>
          <w:tblCellMar>
            <w:top w:w="0" w:type="dxa"/>
            <w:bottom w:w="0" w:type="dxa"/>
          </w:tblCellMar>
        </w:tblPrEx>
        <w:tc>
          <w:tcPr>
            <w:tcW w:w="0" w:type="auto"/>
          </w:tcPr>
          <w:p w14:paraId="0642BA44" w14:textId="77777777" w:rsidR="00283B7B" w:rsidRDefault="00000000">
            <w:pPr>
              <w:spacing w:before="100" w:after="100"/>
            </w:pPr>
            <w:r>
              <w:t>4</w:t>
            </w:r>
          </w:p>
        </w:tc>
        <w:tc>
          <w:tcPr>
            <w:tcW w:w="0" w:type="auto"/>
          </w:tcPr>
          <w:p w14:paraId="48F07FFF" w14:textId="77777777" w:rsidR="00283B7B" w:rsidRDefault="00000000">
            <w:pPr>
              <w:spacing w:before="100" w:after="100"/>
            </w:pPr>
            <w:r>
              <w:t>Correlation matrix — factor exposure across current holdings</w:t>
            </w:r>
          </w:p>
        </w:tc>
        <w:tc>
          <w:tcPr>
            <w:tcW w:w="0" w:type="auto"/>
          </w:tcPr>
          <w:p w14:paraId="4D6B2371" w14:textId="77777777" w:rsidR="00283B7B" w:rsidRDefault="00000000">
            <w:pPr>
              <w:spacing w:before="100" w:after="100"/>
            </w:pPr>
            <w:r>
              <w:t>Low</w:t>
            </w:r>
          </w:p>
        </w:tc>
        <w:tc>
          <w:tcPr>
            <w:tcW w:w="0" w:type="auto"/>
          </w:tcPr>
          <w:p w14:paraId="223B7CAC" w14:textId="77777777" w:rsidR="00283B7B" w:rsidRDefault="00000000">
            <w:pPr>
              <w:spacing w:before="100" w:after="100"/>
            </w:pPr>
            <w:r>
              <w:t>Medium</w:t>
            </w:r>
          </w:p>
        </w:tc>
        <w:tc>
          <w:tcPr>
            <w:tcW w:w="0" w:type="auto"/>
          </w:tcPr>
          <w:p w14:paraId="5F2A850F" w14:textId="77777777" w:rsidR="00283B7B" w:rsidRDefault="00000000">
            <w:pPr>
              <w:spacing w:before="100" w:after="100"/>
            </w:pPr>
            <w:r>
              <w:t>Q2 2026 — can be built into Portfolio Analyst app</w:t>
            </w:r>
          </w:p>
        </w:tc>
      </w:tr>
      <w:tr w:rsidR="00283B7B" w14:paraId="2AA8D0E1" w14:textId="77777777">
        <w:tblPrEx>
          <w:tblCellMar>
            <w:top w:w="0" w:type="dxa"/>
            <w:bottom w:w="0" w:type="dxa"/>
          </w:tblCellMar>
        </w:tblPrEx>
        <w:tc>
          <w:tcPr>
            <w:tcW w:w="0" w:type="auto"/>
          </w:tcPr>
          <w:p w14:paraId="085B6257" w14:textId="77777777" w:rsidR="00283B7B" w:rsidRDefault="00000000">
            <w:pPr>
              <w:spacing w:before="100" w:after="100"/>
            </w:pPr>
            <w:r>
              <w:t>5</w:t>
            </w:r>
          </w:p>
        </w:tc>
        <w:tc>
          <w:tcPr>
            <w:tcW w:w="0" w:type="auto"/>
          </w:tcPr>
          <w:p w14:paraId="34D8470C" w14:textId="77777777" w:rsidR="00283B7B" w:rsidRDefault="00000000">
            <w:pPr>
              <w:spacing w:before="100" w:after="100"/>
            </w:pPr>
            <w:r>
              <w:t>Leading indicators — free alternative data for circle of competence</w:t>
            </w:r>
          </w:p>
        </w:tc>
        <w:tc>
          <w:tcPr>
            <w:tcW w:w="0" w:type="auto"/>
          </w:tcPr>
          <w:p w14:paraId="682A6DF9" w14:textId="77777777" w:rsidR="00283B7B" w:rsidRDefault="00000000">
            <w:pPr>
              <w:spacing w:before="100" w:after="100"/>
            </w:pPr>
            <w:r>
              <w:t>Medium</w:t>
            </w:r>
          </w:p>
        </w:tc>
        <w:tc>
          <w:tcPr>
            <w:tcW w:w="0" w:type="auto"/>
          </w:tcPr>
          <w:p w14:paraId="3EC9E8C3" w14:textId="77777777" w:rsidR="00283B7B" w:rsidRDefault="00000000">
            <w:pPr>
              <w:spacing w:before="100" w:after="100"/>
            </w:pPr>
            <w:r>
              <w:t>Medium</w:t>
            </w:r>
          </w:p>
        </w:tc>
        <w:tc>
          <w:tcPr>
            <w:tcW w:w="0" w:type="auto"/>
          </w:tcPr>
          <w:p w14:paraId="62F34B9E" w14:textId="77777777" w:rsidR="00283B7B" w:rsidRDefault="00000000">
            <w:pPr>
              <w:spacing w:before="100" w:after="100"/>
            </w:pPr>
            <w:r>
              <w:t>Q3 2026 — layer into Portfolio Analyst app</w:t>
            </w:r>
          </w:p>
        </w:tc>
      </w:tr>
      <w:tr w:rsidR="00283B7B" w14:paraId="56938A22" w14:textId="77777777">
        <w:tblPrEx>
          <w:tblCellMar>
            <w:top w:w="0" w:type="dxa"/>
            <w:bottom w:w="0" w:type="dxa"/>
          </w:tblCellMar>
        </w:tblPrEx>
        <w:tc>
          <w:tcPr>
            <w:tcW w:w="0" w:type="auto"/>
          </w:tcPr>
          <w:p w14:paraId="29621178" w14:textId="77777777" w:rsidR="00283B7B" w:rsidRDefault="00000000">
            <w:pPr>
              <w:spacing w:before="100" w:after="100"/>
            </w:pPr>
            <w:r>
              <w:t>6</w:t>
            </w:r>
          </w:p>
        </w:tc>
        <w:tc>
          <w:tcPr>
            <w:tcW w:w="0" w:type="auto"/>
          </w:tcPr>
          <w:p w14:paraId="3244F83E" w14:textId="77777777" w:rsidR="00283B7B" w:rsidRDefault="00000000">
            <w:pPr>
              <w:spacing w:before="100" w:after="100"/>
            </w:pPr>
            <w:r>
              <w:t>Expected return model — quantitative position sizing inputs</w:t>
            </w:r>
          </w:p>
        </w:tc>
        <w:tc>
          <w:tcPr>
            <w:tcW w:w="0" w:type="auto"/>
          </w:tcPr>
          <w:p w14:paraId="1AF43F96" w14:textId="77777777" w:rsidR="00283B7B" w:rsidRDefault="00000000">
            <w:pPr>
              <w:spacing w:before="100" w:after="100"/>
            </w:pPr>
            <w:r>
              <w:t>High</w:t>
            </w:r>
          </w:p>
        </w:tc>
        <w:tc>
          <w:tcPr>
            <w:tcW w:w="0" w:type="auto"/>
          </w:tcPr>
          <w:p w14:paraId="273827E6" w14:textId="77777777" w:rsidR="00283B7B" w:rsidRDefault="00000000">
            <w:pPr>
              <w:spacing w:before="100" w:after="100"/>
            </w:pPr>
            <w:r>
              <w:t>High</w:t>
            </w:r>
          </w:p>
        </w:tc>
        <w:tc>
          <w:tcPr>
            <w:tcW w:w="0" w:type="auto"/>
          </w:tcPr>
          <w:p w14:paraId="305F6431" w14:textId="77777777" w:rsidR="00283B7B" w:rsidRDefault="00000000">
            <w:pPr>
              <w:spacing w:before="100" w:after="100"/>
            </w:pPr>
            <w:r>
              <w:t>2027 — requires significant modeling work</w:t>
            </w:r>
          </w:p>
        </w:tc>
      </w:tr>
      <w:tr w:rsidR="00283B7B" w14:paraId="6574189F" w14:textId="77777777">
        <w:tblPrEx>
          <w:tblCellMar>
            <w:top w:w="0" w:type="dxa"/>
            <w:bottom w:w="0" w:type="dxa"/>
          </w:tblCellMar>
        </w:tblPrEx>
        <w:tc>
          <w:tcPr>
            <w:tcW w:w="0" w:type="auto"/>
          </w:tcPr>
          <w:p w14:paraId="75272E7D" w14:textId="77777777" w:rsidR="00283B7B" w:rsidRDefault="00000000">
            <w:pPr>
              <w:spacing w:before="100" w:after="100"/>
            </w:pPr>
            <w:r>
              <w:t>7</w:t>
            </w:r>
          </w:p>
        </w:tc>
        <w:tc>
          <w:tcPr>
            <w:tcW w:w="0" w:type="auto"/>
          </w:tcPr>
          <w:p w14:paraId="7B2F6013" w14:textId="77777777" w:rsidR="00283B7B" w:rsidRDefault="00000000">
            <w:pPr>
              <w:spacing w:before="100" w:after="100"/>
            </w:pPr>
            <w:r>
              <w:t xml:space="preserve">Thesis evaluation </w:t>
            </w:r>
            <w:proofErr w:type="spellStart"/>
            <w:r>
              <w:t>backtesting</w:t>
            </w:r>
            <w:proofErr w:type="spellEnd"/>
            <w:r>
              <w:t xml:space="preserve"> — statistical validation across universe</w:t>
            </w:r>
          </w:p>
        </w:tc>
        <w:tc>
          <w:tcPr>
            <w:tcW w:w="0" w:type="auto"/>
          </w:tcPr>
          <w:p w14:paraId="6385C40B" w14:textId="77777777" w:rsidR="00283B7B" w:rsidRDefault="00000000">
            <w:pPr>
              <w:spacing w:before="100" w:after="100"/>
            </w:pPr>
            <w:r>
              <w:t>Very high</w:t>
            </w:r>
          </w:p>
        </w:tc>
        <w:tc>
          <w:tcPr>
            <w:tcW w:w="0" w:type="auto"/>
          </w:tcPr>
          <w:p w14:paraId="1DBEBFAD" w14:textId="77777777" w:rsidR="00283B7B" w:rsidRDefault="00000000">
            <w:pPr>
              <w:spacing w:before="100" w:after="100"/>
            </w:pPr>
            <w:r>
              <w:t>High</w:t>
            </w:r>
          </w:p>
        </w:tc>
        <w:tc>
          <w:tcPr>
            <w:tcW w:w="0" w:type="auto"/>
          </w:tcPr>
          <w:p w14:paraId="39CC15FB" w14:textId="77777777" w:rsidR="00283B7B" w:rsidRDefault="00000000">
            <w:pPr>
              <w:spacing w:before="100" w:after="100"/>
            </w:pPr>
            <w:r>
              <w:t>2027 — 100+ transcript evaluations required</w:t>
            </w:r>
          </w:p>
        </w:tc>
      </w:tr>
    </w:tbl>
    <w:p w14:paraId="31E16ED1" w14:textId="77777777" w:rsidR="00283B7B" w:rsidRDefault="00283B7B">
      <w:pPr>
        <w:pBdr>
          <w:bottom w:val="single" w:sz="1" w:space="0" w:color="CCCCCC"/>
        </w:pBdr>
        <w:spacing w:before="200" w:after="200"/>
      </w:pPr>
    </w:p>
    <w:p w14:paraId="306526B6" w14:textId="77777777" w:rsidR="00283B7B" w:rsidRDefault="00000000">
      <w:pPr>
        <w:pStyle w:val="Heading1"/>
        <w:spacing w:before="400" w:after="200"/>
      </w:pPr>
      <w:r>
        <w:t>Closing Note</w:t>
      </w:r>
    </w:p>
    <w:p w14:paraId="338AE557" w14:textId="77777777" w:rsidR="00283B7B" w:rsidRDefault="00000000">
      <w:pPr>
        <w:spacing w:before="100" w:after="100"/>
      </w:pPr>
      <w:r>
        <w:t>The fact that these gaps can be named precisely is itself a sign of a mature framework. You cannot improve what you cannot see. The blind spots documented here are not evidence that the framework is inadequate — they are evidence that the framework is honest enough to acknowledge its own limitations.</w:t>
      </w:r>
    </w:p>
    <w:p w14:paraId="728D108C" w14:textId="77777777" w:rsidR="00283B7B" w:rsidRDefault="00000000">
      <w:pPr>
        <w:spacing w:before="100" w:after="100"/>
      </w:pPr>
      <w:r>
        <w:t>The most important improvement is also the simplest and the cheapest: independent challenge from a trusted peer on high-conviction positions. Every other improvement on this list requires time, data, or technical implementation. This one requires only a phone call with someone who will tell you what you don't want to hear.</w:t>
      </w:r>
    </w:p>
    <w:p w14:paraId="28C0B1D0" w14:textId="77777777" w:rsidR="00283B7B" w:rsidRDefault="00000000">
      <w:pPr>
        <w:spacing w:before="100" w:after="100"/>
      </w:pPr>
      <w:r>
        <w:t>The ENPH experience, analyzed in full, shows that the signals were detectable in real time. The framework we built would have acted on them earlier and more aggressively. The question the roadmap above is designed to answer is: what signals are we currently missing that we will only recognize in hindsight five years from now?</w:t>
      </w:r>
    </w:p>
    <w:p w14:paraId="03724212" w14:textId="77777777" w:rsidR="00283B7B" w:rsidRDefault="00000000">
      <w:pPr>
        <w:spacing w:before="100" w:after="100"/>
      </w:pPr>
      <w:r>
        <w:t>That is the right question to keep asking.</w:t>
      </w:r>
    </w:p>
    <w:p w14:paraId="515D6748" w14:textId="77777777" w:rsidR="00283B7B" w:rsidRDefault="00000000">
      <w:pPr>
        <w:spacing w:before="400" w:after="200"/>
        <w:jc w:val="center"/>
      </w:pPr>
      <w:r>
        <w:rPr>
          <w:i/>
          <w:iCs/>
          <w:color w:val="888888"/>
          <w:sz w:val="20"/>
          <w:szCs w:val="20"/>
        </w:rPr>
        <w:t>Portfolio Analyst Project — April 2026</w:t>
      </w:r>
    </w:p>
    <w:sectPr w:rsidR="00283B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3E45"/>
    <w:multiLevelType w:val="hybridMultilevel"/>
    <w:tmpl w:val="3D1EFFCC"/>
    <w:lvl w:ilvl="0" w:tplc="0164A8A4">
      <w:start w:val="1"/>
      <w:numFmt w:val="bullet"/>
      <w:lvlText w:val="●"/>
      <w:lvlJc w:val="left"/>
      <w:pPr>
        <w:ind w:left="720" w:hanging="360"/>
      </w:pPr>
    </w:lvl>
    <w:lvl w:ilvl="1" w:tplc="4D66A1CC">
      <w:start w:val="1"/>
      <w:numFmt w:val="bullet"/>
      <w:lvlText w:val="○"/>
      <w:lvlJc w:val="left"/>
      <w:pPr>
        <w:ind w:left="1440" w:hanging="360"/>
      </w:pPr>
    </w:lvl>
    <w:lvl w:ilvl="2" w:tplc="90B2A4AA">
      <w:start w:val="1"/>
      <w:numFmt w:val="bullet"/>
      <w:lvlText w:val="■"/>
      <w:lvlJc w:val="left"/>
      <w:pPr>
        <w:ind w:left="2160" w:hanging="360"/>
      </w:pPr>
    </w:lvl>
    <w:lvl w:ilvl="3" w:tplc="7C288868">
      <w:start w:val="1"/>
      <w:numFmt w:val="bullet"/>
      <w:lvlText w:val="●"/>
      <w:lvlJc w:val="left"/>
      <w:pPr>
        <w:ind w:left="2880" w:hanging="360"/>
      </w:pPr>
    </w:lvl>
    <w:lvl w:ilvl="4" w:tplc="A51CA3D2">
      <w:start w:val="1"/>
      <w:numFmt w:val="bullet"/>
      <w:lvlText w:val="○"/>
      <w:lvlJc w:val="left"/>
      <w:pPr>
        <w:ind w:left="3600" w:hanging="360"/>
      </w:pPr>
    </w:lvl>
    <w:lvl w:ilvl="5" w:tplc="258029DC">
      <w:start w:val="1"/>
      <w:numFmt w:val="bullet"/>
      <w:lvlText w:val="■"/>
      <w:lvlJc w:val="left"/>
      <w:pPr>
        <w:ind w:left="4320" w:hanging="360"/>
      </w:pPr>
    </w:lvl>
    <w:lvl w:ilvl="6" w:tplc="48B6D7A8">
      <w:start w:val="1"/>
      <w:numFmt w:val="bullet"/>
      <w:lvlText w:val="●"/>
      <w:lvlJc w:val="left"/>
      <w:pPr>
        <w:ind w:left="5040" w:hanging="360"/>
      </w:pPr>
    </w:lvl>
    <w:lvl w:ilvl="7" w:tplc="FDECFC2C">
      <w:start w:val="1"/>
      <w:numFmt w:val="bullet"/>
      <w:lvlText w:val="●"/>
      <w:lvlJc w:val="left"/>
      <w:pPr>
        <w:ind w:left="5760" w:hanging="360"/>
      </w:pPr>
    </w:lvl>
    <w:lvl w:ilvl="8" w:tplc="D824755C">
      <w:start w:val="1"/>
      <w:numFmt w:val="bullet"/>
      <w:lvlText w:val="●"/>
      <w:lvlJc w:val="left"/>
      <w:pPr>
        <w:ind w:left="6480" w:hanging="360"/>
      </w:pPr>
    </w:lvl>
  </w:abstractNum>
  <w:num w:numId="1" w16cid:durableId="260532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B7B"/>
    <w:rsid w:val="00283B7B"/>
    <w:rsid w:val="00350827"/>
    <w:rsid w:val="00DC4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A2E8C3"/>
  <w15:docId w15:val="{3B9F5B41-52C2-8E46-9398-093CE435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3F8B"/>
      <w:sz w:val="32"/>
      <w:szCs w:val="32"/>
    </w:rPr>
  </w:style>
  <w:style w:type="paragraph" w:styleId="Heading2">
    <w:name w:val="heading 2"/>
    <w:uiPriority w:val="9"/>
    <w:unhideWhenUsed/>
    <w:qFormat/>
    <w:pPr>
      <w:outlineLvl w:val="1"/>
    </w:pPr>
    <w:rPr>
      <w:b/>
      <w:bCs/>
      <w:color w:val="1B3F8B"/>
      <w:sz w:val="26"/>
      <w:szCs w:val="26"/>
    </w:rPr>
  </w:style>
  <w:style w:type="paragraph" w:styleId="Heading3">
    <w:name w:val="heading 3"/>
    <w:uiPriority w:val="9"/>
    <w:semiHidden/>
    <w:unhideWhenUsed/>
    <w:qFormat/>
    <w:pPr>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2501</Words>
  <Characters>14457</Characters>
  <Application>Microsoft Office Word</Application>
  <DocSecurity>0</DocSecurity>
  <Lines>301</Lines>
  <Paragraphs>166</Paragraphs>
  <ScaleCrop>false</ScaleCrop>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Morales</cp:lastModifiedBy>
  <cp:revision>2</cp:revision>
  <dcterms:created xsi:type="dcterms:W3CDTF">2026-04-06T12:36:00Z</dcterms:created>
  <dcterms:modified xsi:type="dcterms:W3CDTF">2026-04-06T12:36:00Z</dcterms:modified>
</cp:coreProperties>
</file>