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Baseline — score v6 on the tune split, via the Batch API — wrap-up</w:t>
      </w:r>
    </w:p>
    <w:p>
      <w:r/>
      <w:r>
        <w:rPr>
          <w:b/>
        </w:rPr>
        <w:t>Reading version (renders correctly anywhere, phone included):</w:t>
      </w:r>
      <w:r/>
    </w:p>
    <w:p>
      <w:r>
        <w:t>&lt;https://claude.ai/artifact/93xfkzWVKXa6xriNqWbNkZ&gt;</w:t>
      </w:r>
    </w:p>
    <w:p>
      <w:r/>
      <w:r>
        <w:rPr>
          <w:b/>
        </w:rPr>
        <w:t>Run ID:</w:t>
      </w:r>
      <w:r>
        <w:t xml:space="preserve"> </w:t>
      </w:r>
      <w:r>
        <w:rPr>
          <w:rFonts w:ascii="Courier New" w:hAnsi="Courier New"/>
        </w:rPr>
        <w:t>baseline-v6-tune-batch</w:t>
      </w:r>
      <w:r>
        <w:t xml:space="preserve">. </w:t>
      </w:r>
      <w:r>
        <w:rPr>
          <w:b/>
        </w:rPr>
        <w:t>Real spend: ~$46.34</w:t>
      </w:r>
      <w:r>
        <w:t xml:space="preserve"> (~$45.91 useful +</w:t>
      </w:r>
    </w:p>
    <w:p>
      <w:r>
        <w:t>$0.43 wasted on a bug caught before batch submission — see Deviations), against</w:t>
      </w:r>
    </w:p>
    <w:p>
      <w:r>
        <w:t>the $47 estimate. 1,207 tune calls scored (53/54 tickers), 0 errored, 0 expired.</w:t>
      </w:r>
    </w:p>
    <w:p>
      <w:r>
        <w:t xml:space="preserve">Branch </w:t>
      </w:r>
      <w:r>
        <w:rPr>
          <w:rFonts w:ascii="Courier New" w:hAnsi="Courier New"/>
        </w:rPr>
        <w:t>sweep/db-corpus-baseline</w:t>
      </w:r>
      <w:r>
        <w:t>, pushed at the end.</w:t>
      </w:r>
    </w:p>
    <w:p>
      <w:pPr>
        <w:pStyle w:val="Heading2"/>
      </w:pPr>
      <w:r>
        <w:t>0. Defined terms</w:t>
      </w:r>
    </w:p>
    <w:p>
      <w:r>
        <w:t>In plain English first: this run had the analyst read 1,207 real earnings-call</w:t>
      </w:r>
    </w:p>
    <w:p>
      <w:r>
        <w:t>transcripts from 53 of the 54 companies in the "tune" group (a different set of</w:t>
      </w:r>
    </w:p>
    <w:p>
      <w:r>
        <w:t>companies than the ones already scored in the prior "train" run), produce a</w:t>
      </w:r>
    </w:p>
    <w:p>
      <w:r>
        <w:t>recommendation for each, and checked those recommendations against what actually</w:t>
      </w:r>
    </w:p>
    <w:p>
      <w:r>
        <w:t>happened to the stock. Two companies — Wolfspeed (WOLF) and the current SunPower</w:t>
      </w:r>
    </w:p>
    <w:p>
      <w:r>
        <w:t>(SPWR) — turned out to be cases where the stock ticker was reused by a different,</w:t>
      </w:r>
    </w:p>
    <w:p>
      <w:r>
        <w:t>reorganized company after a 2024/2025 bankruptcy, so the price history needed to</w:t>
      </w:r>
    </w:p>
    <w:p>
      <w:r>
        <w:t>grade their older calls no longer exists anywhere this project can fetch it. On</w:t>
      </w:r>
    </w:p>
    <w:p>
      <w:r>
        <w:t>the other 51 companies (1,168 gradable calls), the analyst did slightly better</w:t>
      </w:r>
    </w:p>
    <w:p>
      <w:r>
        <w:t>than chance, and — unlike the train result — the margin here is wide enough that</w:t>
      </w:r>
    </w:p>
    <w:p>
      <w:r>
        <w:t>it cannot be explained by luck alone.</w:t>
      </w:r>
    </w:p>
    <w:p>
      <w:r>
        <w:t>Terms this report uses:</w:t>
      </w:r>
    </w:p>
    <w:p>
      <w:pPr>
        <w:pStyle w:val="ListBullet"/>
      </w:pPr>
      <w:r/>
      <w:r>
        <w:rPr>
          <w:b/>
        </w:rPr>
        <w:t>train / tune / holdout</w:t>
      </w:r>
      <w:r>
        <w:t xml:space="preserve"> — the three-way split of the 164-company corpus.</w:t>
      </w:r>
    </w:p>
    <w:p>
      <w:r>
        <w:t xml:space="preserve">  </w:t>
      </w:r>
      <w:r>
        <w:rPr>
          <w:b/>
        </w:rPr>
        <w:t>Train</w:t>
      </w:r>
      <w:r>
        <w:t xml:space="preserve"> was scored first (</w:t>
      </w:r>
      <w:r>
        <w:rPr>
          <w:rFonts w:ascii="Courier New" w:hAnsi="Courier New"/>
        </w:rPr>
        <w:t>baseline-v6-train-batch</w:t>
      </w:r>
      <w:r>
        <w:t>) and is the ruler every</w:t>
      </w:r>
    </w:p>
    <w:p>
      <w:r>
        <w:t xml:space="preserve">  future candidate compares against. </w:t>
      </w:r>
      <w:r>
        <w:rPr>
          <w:b/>
        </w:rPr>
        <w:t>Tune</w:t>
      </w:r>
      <w:r>
        <w:t xml:space="preserve"> (this run) is used for future</w:t>
      </w:r>
    </w:p>
    <w:p>
      <w:r>
        <w:t xml:space="preserve">  prompt iteration. </w:t>
      </w:r>
      <w:r>
        <w:rPr>
          <w:b/>
        </w:rPr>
        <w:t>Holdout</w:t>
      </w:r>
      <w:r>
        <w:t xml:space="preserve"> is locked and never scored until a final</w:t>
      </w:r>
    </w:p>
    <w:p>
      <w:r>
        <w:t xml:space="preserve">  promotion decision.</w:t>
      </w:r>
    </w:p>
    <w:p>
      <w:pPr>
        <w:pStyle w:val="ListBullet"/>
      </w:pPr>
      <w:r/>
      <w:r>
        <w:rPr>
          <w:b/>
        </w:rPr>
        <w:t>pp vs %</w:t>
      </w:r>
      <w:r>
        <w:t xml:space="preserve"> — a percentage-point (</w:t>
      </w:r>
      <w:r>
        <w:rPr>
          <w:b/>
        </w:rPr>
        <w:t>pp</w:t>
      </w:r>
      <w:r>
        <w:t>) figure is an arithmetic difference</w:t>
      </w:r>
    </w:p>
    <w:p>
      <w:r>
        <w:t xml:space="preserve">  between two percentages, not a relative change.</w:t>
      </w:r>
    </w:p>
    <w:p>
      <w:pPr>
        <w:pStyle w:val="ListBullet"/>
      </w:pPr>
      <w:r/>
      <w:r>
        <w:rPr>
          <w:b/>
        </w:rPr>
        <w:t>gradable / scoreable</w:t>
      </w:r>
      <w:r>
        <w:t xml:space="preserve"> — a scored call becomes gradable only once its ticker</w:t>
      </w:r>
    </w:p>
    <w:p>
      <w:r>
        <w:t xml:space="preserve">  has price coverage spanning both the call date and ~6 months later, and enough</w:t>
      </w:r>
    </w:p>
    <w:p>
      <w:r>
        <w:t xml:space="preserve">  time has passed for that forward window to exist in the (frozen) price data.</w:t>
      </w:r>
    </w:p>
    <w:p>
      <w:pPr>
        <w:pStyle w:val="ListBullet"/>
      </w:pPr>
      <w:r/>
      <w:r>
        <w:rPr>
          <w:b/>
        </w:rPr>
        <w:t>per_call_rec</w:t>
      </w:r>
      <w:r>
        <w:t xml:space="preserve"> — the analyst's own recommendation for a single call (Hold /</w:t>
      </w:r>
    </w:p>
    <w:p>
      <w:r>
        <w:t xml:space="preserve">  Add / Trim / Exit), as opposed to any downstream allocator or trend-layer</w:t>
      </w:r>
    </w:p>
    <w:p>
      <w:r>
        <w:t xml:space="preserve">  action. This run scores only </w:t>
      </w:r>
      <w:r>
        <w:rPr>
          <w:rFonts w:ascii="Courier New" w:hAnsi="Courier New"/>
        </w:rPr>
        <w:t>per_call_rec</w:t>
      </w:r>
      <w:r>
        <w:t xml:space="preserve"> — no allocator logic ran. See</w:t>
      </w:r>
    </w:p>
    <w:p>
      <w:r>
        <w:t xml:space="preserve">  CLAUDE.md's analyst/allocator firewall.</w:t>
      </w:r>
    </w:p>
    <w:p>
      <w:pPr>
        <w:pStyle w:val="ListBullet"/>
      </w:pPr>
      <w:r/>
      <w:r>
        <w:rPr>
          <w:b/>
        </w:rPr>
        <w:t>balanced accuracy</w:t>
      </w:r>
      <w:r>
        <w:t xml:space="preserve"> — the average hit-rate across the three possible answers</w:t>
      </w:r>
    </w:p>
    <w:p>
      <w:r>
        <w:t xml:space="preserve">  (bullish/bearish/neutral), so a run of "always guess the common answer" does</w:t>
      </w:r>
    </w:p>
    <w:p>
      <w:r>
        <w:t xml:space="preserve">  not score well by default. A skill-less three-way guesser scores 33.3%.</w:t>
      </w:r>
    </w:p>
    <w:p>
      <w:pPr>
        <w:pStyle w:val="ListBullet"/>
      </w:pPr>
      <w:r/>
      <w:r>
        <w:rPr>
          <w:b/>
        </w:rPr>
        <w:t>luck-corrected gap</w:t>
      </w:r>
      <w:r>
        <w:t xml:space="preserve"> — observed accuracy minus the accuracy you'd expect from</w:t>
      </w:r>
    </w:p>
    <w:p>
      <w:r>
        <w:t xml:space="preserve">  guessing in proportion to how often each answer is given and how often each</w:t>
      </w:r>
    </w:p>
    <w:p>
      <w:r>
        <w:t xml:space="preserve">  outcome actually occurs. Zero means "no better than a coin weighted by its own</w:t>
      </w:r>
    </w:p>
    <w:p>
      <w:r>
        <w:t xml:space="preserve">  guessing habits."</w:t>
      </w:r>
    </w:p>
    <w:p>
      <w:pPr>
        <w:pStyle w:val="ListBullet"/>
      </w:pPr>
      <w:r/>
      <w:r>
        <w:rPr>
          <w:b/>
        </w:rPr>
        <w:t>95% range</w:t>
      </w:r>
      <w:r>
        <w:t xml:space="preserve"> — a ticker-block bootstrap confidence interval (resample</w:t>
      </w:r>
    </w:p>
    <w:p>
      <w:r>
        <w:t xml:space="preserve">  tickers, not individual calls, with replacement; 5,000 resamples, seed</w:t>
      </w:r>
    </w:p>
    <w:p>
      <w:r>
        <w:t xml:space="preserve">  </w:t>
      </w:r>
      <w:r>
        <w:rPr>
          <w:rFonts w:ascii="Courier New" w:hAnsi="Courier New"/>
        </w:rPr>
        <w:t>20201231</w:t>
      </w:r>
      <w:r>
        <w:t>, same convention the train wrap-up used). "Spans zero" means the</w:t>
      </w:r>
    </w:p>
    <w:p>
      <w:r>
        <w:t xml:space="preserve">  data cannot rule out "no real effect."</w:t>
      </w:r>
    </w:p>
    <w:p>
      <w:pPr>
        <w:pStyle w:val="ListBullet"/>
      </w:pPr>
      <w:r/>
      <w:r>
        <w:rPr>
          <w:b/>
        </w:rPr>
        <w:t>A6 terminal-value grading</w:t>
      </w:r>
      <w:r>
        <w:t xml:space="preserve"> — an existing, registered project rule</w:t>
      </w:r>
    </w:p>
    <w:p>
      <w:r>
        <w:t xml:space="preserve">  (</w:t>
      </w:r>
      <w:r>
        <w:rPr>
          <w:rFonts w:ascii="Courier New" w:hAnsi="Courier New"/>
        </w:rPr>
        <w:t>PREREGISTRATION_FIX.json</w:t>
      </w:r>
      <w:r>
        <w:t>) for companies whose equity was wiped out: grade</w:t>
      </w:r>
    </w:p>
    <w:p>
      <w:r>
        <w:t xml:space="preserve">  the forward return as a maximal loss without needing a real forward price.</w:t>
      </w:r>
    </w:p>
    <w:p>
      <w:r>
        <w:t xml:space="preserve">  Referenced below because WOLF and SPWR are the kind of case it was built for,</w:t>
      </w:r>
    </w:p>
    <w:p>
      <w:r>
        <w:t xml:space="preserve">  but it is </w:t>
      </w:r>
      <w:r>
        <w:rPr>
          <w:b/>
        </w:rPr>
        <w:t>not currently wired into</w:t>
      </w:r>
      <w:r>
        <w:t xml:space="preserve"> </w:t>
      </w:r>
      <w:r>
        <w:rPr>
          <w:rFonts w:ascii="Courier New" w:hAnsi="Courier New"/>
        </w:rPr>
        <w:t>analyst_direct_scorer.py</w:t>
      </w:r>
      <w:r>
        <w:t>, the scorer</w:t>
      </w:r>
    </w:p>
    <w:p>
      <w:r>
        <w:t xml:space="preserve">  this run (and the train run) actually uses — see §4 below.</w:t>
      </w:r>
    </w:p>
    <w:p>
      <w:pPr>
        <w:pStyle w:val="ListBullet"/>
      </w:pPr>
      <w:r>
        <w:t xml:space="preserve">Portfolio-layer terms (Type A/B, tier cap, ratchet, ALL16, </w:t>
      </w:r>
      <w:r>
        <w:rPr>
          <w:rFonts w:ascii="Courier New" w:hAnsi="Courier New"/>
        </w:rPr>
        <w:t>X</w:t>
      </w:r>
      <w:r>
        <w:t xml:space="preserve">, </w:t>
      </w:r>
      <w:r>
        <w:rPr>
          <w:rFonts w:ascii="Courier New" w:hAnsi="Courier New"/>
        </w:rPr>
        <w:t>K</w:t>
      </w:r>
      <w:r>
        <w:t>,</w:t>
      </w:r>
    </w:p>
    <w:p>
      <w:r>
        <w:t xml:space="preserve">  </w:t>
      </w:r>
      <w:r>
        <w:rPr>
          <w:rFonts w:ascii="Courier New" w:hAnsi="Courier New"/>
        </w:rPr>
        <w:t>swap_funding</w:t>
      </w:r>
      <w:r>
        <w:t xml:space="preserve">) </w:t>
      </w:r>
      <w:r>
        <w:rPr>
          <w:b/>
        </w:rPr>
        <w:t>do not appear in this report</w:t>
      </w:r>
      <w:r>
        <w:t xml:space="preserve"> — this run is Layer 2</w:t>
      </w:r>
    </w:p>
    <w:p>
      <w:r>
        <w:t xml:space="preserve">  (analyst) only, per hard constraint 5. Not defined here because not used.</w:t>
      </w:r>
    </w:p>
    <w:p>
      <w:pPr>
        <w:pStyle w:val="Heading2"/>
      </w:pPr>
      <w:r>
        <w:t>Headline</w:t>
      </w:r>
    </w:p>
    <w:p>
      <w:r>
        <w:t>**On 51 of the 54 tune companies (1,168 gradable calls), v6 scores 28.3% against</w:t>
      </w:r>
    </w:p>
    <w:p>
      <w:r>
        <w:t>25.7% expected by luck — a gap of +2.64 points, whose 95% range is 0.21 to</w:t>
      </w:r>
    </w:p>
    <w:p>
      <w:r>
        <w:t>5.00pp. This range EXCLUDES zero** — the first time in this project's record</w:t>
      </w:r>
    </w:p>
    <w:p>
      <w:r>
        <w:t>that a luck-corrected gap has cleared that bar. Balanced accuracy is 35.8% (95%</w:t>
      </w:r>
    </w:p>
    <w:p>
      <w:r>
        <w:t>range 32.7–38.7%), which still spans the 33.3% chance line.</w:t>
      </w:r>
    </w:p>
    <w:p>
      <w:r/>
      <w:r>
        <w:rPr>
          <w:b/>
        </w:rPr>
        <w:t>Two of the 54 tune companies (WOLF, SPWR) could not be graded at all</w:t>
      </w:r>
      <w:r>
        <w:t>, for a</w:t>
      </w:r>
    </w:p>
    <w:p>
      <w:r>
        <w:t>reason that only surfaced because the scorer's own coverage guard refused to</w:t>
      </w:r>
    </w:p>
    <w:p>
      <w:r>
        <w:t>report a score with them included (see §3) — both are 2024/2025 corporate-reorg</w:t>
      </w:r>
    </w:p>
    <w:p>
      <w:r>
        <w:t>cases where the price history their pre-bankruptcy transcripts would need to be</w:t>
      </w:r>
    </w:p>
    <w:p>
      <w:r>
        <w:t>graded against has been fully purged from this project's data source. **This</w:t>
      </w:r>
    </w:p>
    <w:p>
      <w:r>
        <w:t>is not the full, honest 54-company test the prompt set out to run — it is a</w:t>
      </w:r>
    </w:p>
    <w:p>
      <w:r>
        <w:t>51-company test, with the exclusion disclosed and investigated, not silently</w:t>
      </w:r>
    </w:p>
    <w:p>
      <w:r>
        <w:t>dropped.**</w:t>
      </w:r>
    </w:p>
    <w:p>
      <w:r/>
      <w:r>
        <w:rPr>
          <w:b/>
        </w:rPr>
        <w:t>Carry the model confound in the same breath, as the prompt asked.</w:t>
      </w:r>
      <w:r>
        <w:t xml:space="preserve"> Every</w:t>
      </w:r>
    </w:p>
    <w:p>
      <w:r>
        <w:t xml:space="preserve">figure above comes from </w:t>
      </w:r>
      <w:r>
        <w:rPr>
          <w:rFonts w:ascii="Courier New" w:hAnsi="Courier New"/>
        </w:rPr>
        <w:t>claude-sonnet-4-6</w:t>
      </w:r>
      <w:r>
        <w:t>, not the retired model that</w:t>
      </w:r>
    </w:p>
    <w:p>
      <w:r>
        <w:t>produced the legacy 40.4%/39.6% figures (</w:t>
      </w:r>
      <w:r>
        <w:rPr>
          <w:rFonts w:ascii="Courier New" w:hAnsi="Courier New"/>
        </w:rPr>
        <w:t>claude-sonnet-4-20250514</w:t>
      </w:r>
      <w:r>
        <w:t>, retired</w:t>
      </w:r>
    </w:p>
    <w:p>
      <w:r>
        <w:t xml:space="preserve">2026-06-15). That substitution's one formal gate returned </w:t>
      </w:r>
      <w:r>
        <w:rPr>
          <w:b/>
        </w:rPr>
        <w:t>HOLD</w:t>
      </w:r>
      <w:r>
        <w:t xml:space="preserve"> (7.4pp</w:t>
      </w:r>
    </w:p>
    <w:p>
      <w:r>
        <w:t>regression, 4.2pp noise floor, 29% of tickers improving against a 50%</w:t>
      </w:r>
    </w:p>
    <w:p>
      <w:r>
        <w:t>threshold) before the champion was retired anyway. **Any weakness — or the</w:t>
      </w:r>
    </w:p>
    <w:p>
      <w:r>
        <w:t>positive gap above — may be the model, not the prompt, and this data cannot</w:t>
      </w:r>
    </w:p>
    <w:p>
      <w:r>
        <w:t>separate the two.**</w:t>
      </w:r>
    </w:p>
    <w:p>
      <w:pPr>
        <w:pStyle w:val="Heading2"/>
      </w:pPr>
      <w:r>
        <w:t>The comparison that matters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train (56 companies)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tune (51 of 54 companies — see below)</w:t>
            </w:r>
          </w:p>
        </w:tc>
      </w:tr>
      <w:tr>
        <w:tc>
          <w:tcPr>
            <w:tcW w:type="dxa" w:w="2880"/>
          </w:tcPr>
          <w:p>
            <w:r/>
            <w:r>
              <w:t>gradable calls</w:t>
            </w:r>
          </w:p>
        </w:tc>
        <w:tc>
          <w:tcPr>
            <w:tcW w:type="dxa" w:w="2880"/>
          </w:tcPr>
          <w:p>
            <w:r/>
            <w:r>
              <w:t>1,236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1,168</w:t>
            </w:r>
            <w:r/>
          </w:p>
        </w:tc>
      </w:tr>
      <w:tr>
        <w:tc>
          <w:tcPr>
            <w:tcW w:type="dxa" w:w="2880"/>
          </w:tcPr>
          <w:p>
            <w:r/>
            <w:r>
              <w:t>observed accuracy</w:t>
            </w:r>
          </w:p>
        </w:tc>
        <w:tc>
          <w:tcPr>
            <w:tcW w:type="dxa" w:w="2880"/>
          </w:tcPr>
          <w:p>
            <w:r/>
            <w:r>
              <w:t>30.3%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28.3%</w:t>
            </w:r>
            <w:r/>
          </w:p>
        </w:tc>
      </w:tr>
      <w:tr>
        <w:tc>
          <w:tcPr>
            <w:tcW w:type="dxa" w:w="2880"/>
          </w:tcPr>
          <w:p>
            <w:r/>
            <w:r>
              <w:t>expected by luck</w:t>
            </w:r>
          </w:p>
        </w:tc>
        <w:tc>
          <w:tcPr>
            <w:tcW w:type="dxa" w:w="2880"/>
          </w:tcPr>
          <w:p>
            <w:r/>
            <w:r>
              <w:t>27.8%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25.7%</w:t>
            </w:r>
            <w:r/>
          </w:p>
        </w:tc>
      </w:tr>
      <w:tr>
        <w:tc>
          <w:tcPr>
            <w:tcW w:type="dxa" w:w="2880"/>
          </w:tcPr>
          <w:p>
            <w:r/>
            <w:r>
              <w:t>gap</w:t>
            </w:r>
          </w:p>
        </w:tc>
        <w:tc>
          <w:tcPr>
            <w:tcW w:type="dxa" w:w="2880"/>
          </w:tcPr>
          <w:p>
            <w:r/>
            <w:r>
              <w:t>+2.48 points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+2.64 points</w:t>
            </w:r>
            <w:r/>
          </w:p>
        </w:tc>
      </w:tr>
      <w:tr>
        <w:tc>
          <w:tcPr>
            <w:tcW w:type="dxa" w:w="2880"/>
          </w:tcPr>
          <w:p>
            <w:r/>
            <w:r>
              <w:t>95% range on the gap</w:t>
            </w:r>
          </w:p>
        </w:tc>
        <w:tc>
          <w:tcPr>
            <w:tcW w:type="dxa" w:w="2880"/>
          </w:tcPr>
          <w:p>
            <w:r/>
            <w:r>
              <w:t>−0.06 to +5.08 (</w:t>
            </w:r>
            <w:r>
              <w:rPr>
                <w:b/>
              </w:rPr>
              <w:t>spans zero</w:t>
            </w:r>
            <w:r>
              <w:t>)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0.21 to 5.00 (EXCLUDES zero)</w:t>
            </w:r>
            <w:r/>
          </w:p>
        </w:tc>
      </w:tr>
      <w:tr>
        <w:tc>
          <w:tcPr>
            <w:tcW w:type="dxa" w:w="2880"/>
          </w:tcPr>
          <w:p>
            <w:r/>
            <w:r>
              <w:t>balanced accuracy</w:t>
            </w:r>
          </w:p>
        </w:tc>
        <w:tc>
          <w:tcPr>
            <w:tcW w:type="dxa" w:w="2880"/>
          </w:tcPr>
          <w:p>
            <w:r/>
            <w:r>
              <w:t>35.5% (95% 32.6–38.5%)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35.8% (95% 32.7–38.7%)</w:t>
            </w:r>
            <w:r/>
          </w:p>
        </w:tc>
      </w:tr>
      <w:tr>
        <w:tc>
          <w:tcPr>
            <w:tcW w:type="dxa" w:w="2880"/>
          </w:tcPr>
          <w:p>
            <w:r/>
            <w:r>
              <w:t>bullish recall</w:t>
            </w:r>
          </w:p>
        </w:tc>
        <w:tc>
          <w:tcPr>
            <w:tcW w:type="dxa" w:w="2880"/>
          </w:tcPr>
          <w:p>
            <w:r/>
            <w:r>
              <w:t>38.2%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39.4% (95% 31.2–47.6%)</w:t>
            </w:r>
            <w:r/>
          </w:p>
        </w:tc>
      </w:tr>
      <w:tr>
        <w:tc>
          <w:tcPr>
            <w:tcW w:type="dxa" w:w="2880"/>
          </w:tcPr>
          <w:p>
            <w:r/>
            <w:r>
              <w:t>bearish recall</w:t>
            </w:r>
          </w:p>
        </w:tc>
        <w:tc>
          <w:tcPr>
            <w:tcW w:type="dxa" w:w="2880"/>
          </w:tcPr>
          <w:p>
            <w:r/>
            <w:r>
              <w:t>11.2%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8.7% (95% 5.2–12.9%)</w:t>
            </w:r>
            <w:r/>
          </w:p>
        </w:tc>
      </w:tr>
      <w:tr>
        <w:tc>
          <w:tcPr>
            <w:tcW w:type="dxa" w:w="2880"/>
          </w:tcPr>
          <w:p>
            <w:r/>
            <w:r>
              <w:t>neutral recall</w:t>
            </w:r>
          </w:p>
        </w:tc>
        <w:tc>
          <w:tcPr>
            <w:tcW w:type="dxa" w:w="2880"/>
          </w:tcPr>
          <w:p>
            <w:r/>
            <w:r>
              <w:t>57.1%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59.1% (95% 49.1–67.7%)</w:t>
            </w:r>
            <w:r/>
          </w:p>
        </w:tc>
      </w:tr>
      <w:tr>
        <w:tc>
          <w:tcPr>
            <w:tcW w:type="dxa" w:w="2880"/>
          </w:tcPr>
          <w:p>
            <w:r/>
            <w:r>
              <w:t>always-bullish guesser</w:t>
            </w:r>
          </w:p>
        </w:tc>
        <w:tc>
          <w:tcPr>
            <w:tcW w:type="dxa" w:w="2880"/>
          </w:tcPr>
          <w:p>
            <w:r/>
            <w:r>
              <w:t>32.8%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32.8%</w:t>
            </w:r>
            <w:r/>
          </w:p>
        </w:tc>
      </w:tr>
      <w:tr>
        <w:tc>
          <w:tcPr>
            <w:tcW w:type="dxa" w:w="2880"/>
          </w:tcPr>
          <w:p>
            <w:r/>
            <w:r>
              <w:t>always-flat guesser</w:t>
            </w:r>
          </w:p>
        </w:tc>
        <w:tc>
          <w:tcPr>
            <w:tcW w:type="dxa" w:w="2880"/>
          </w:tcPr>
          <w:p>
            <w:r/>
            <w:r>
              <w:t>22.2%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18.8%</w:t>
            </w:r>
            <w:r/>
          </w:p>
        </w:tc>
      </w:tr>
    </w:tbl>
    <w:p>
      <w:r>
        <w:t>(Always-bearish guesser, not requested but reported for continuity with the</w:t>
      </w:r>
    </w:p>
    <w:p>
      <w:r>
        <w:t xml:space="preserve">train wrap-up's diagnostic: </w:t>
      </w:r>
      <w:r>
        <w:rPr>
          <w:b/>
        </w:rPr>
        <w:t>48.4%</w:t>
      </w:r>
      <w:r>
        <w:t xml:space="preserve"> — again higher than v6's own 28.3%.</w:t>
      </w:r>
    </w:p>
    <w:p>
      <w:r>
        <w:t>Ground truth in this tune population skews bearish, same pattern train showed.)</w:t>
      </w:r>
    </w:p>
    <w:p>
      <w:r/>
      <w:r>
        <w:rPr>
          <w:b/>
        </w:rPr>
        <w:t>Which of the prompt's three named outcomes is this?</w:t>
      </w:r>
      <w:r>
        <w:t xml:space="preserve"> Closest to *"holds and</w:t>
      </w:r>
    </w:p>
    <w:p>
      <w:r>
        <w:t>the range excludes zero"* — but with a real caveat the prompt's three options</w:t>
      </w:r>
    </w:p>
    <w:p>
      <w:r>
        <w:t xml:space="preserve">didn't anticipate: it excludes zero on tune </w:t>
      </w:r>
      <w:r>
        <w:rPr>
          <w:b/>
        </w:rPr>
        <w:t>alone</w:t>
      </w:r>
      <w:r>
        <w:t xml:space="preserve"> (51 companies), not on</w:t>
      </w:r>
    </w:p>
    <w:p>
      <w:r>
        <w:t>the full 54, and not yet checked on the pooled 107 (56 train + 51 tune)</w:t>
      </w:r>
    </w:p>
    <w:p>
      <w:r>
        <w:t>companies together. **Do not yet cite a pooled figure or a headroom-recomputation</w:t>
      </w:r>
    </w:p>
    <w:p>
      <w:r>
        <w:t>number from this run** — that pooling, and any consequence for the $83,129</w:t>
      </w:r>
    </w:p>
    <w:p>
      <w:r>
        <w:t>headroom estimate, is exactly the kind of promotion-adjacent step this run's</w:t>
      </w:r>
    </w:p>
    <w:p>
      <w:r>
        <w:t>scope boundary excludes (§6 below). What can be said now: **the +2.48pp train</w:t>
      </w:r>
    </w:p>
    <w:p>
      <w:r>
        <w:t>result replicates in both direction and magnitude on tune, and tune's own</w:t>
      </w:r>
    </w:p>
    <w:p>
      <w:r>
        <w:t>interval — on its own, smaller, 51-company population — is tight enough to</w:t>
      </w:r>
    </w:p>
    <w:p>
      <w:r>
        <w:t>exclude zero where train's wasn't.** That is real signal-shaped evidence, not</w:t>
      </w:r>
    </w:p>
    <w:p>
      <w:r>
        <w:t>proof; the model confound and the 2-company exclusion both cut against reading</w:t>
      </w:r>
    </w:p>
    <w:p>
      <w:r>
        <w:t>too much into it yet.</w:t>
      </w:r>
    </w:p>
    <w:p>
      <w:pPr>
        <w:pStyle w:val="Heading2"/>
      </w:pPr>
      <w:r>
        <w:t>1. Resume status</w:t>
      </w:r>
    </w:p>
    <w:p>
      <w:r>
        <w:t xml:space="preserve">Fresh start — no prior run state existed for </w:t>
      </w:r>
      <w:r>
        <w:rPr>
          <w:rFonts w:ascii="Courier New" w:hAnsi="Courier New"/>
        </w:rPr>
        <w:t>baseline-v6-tune-batch</w:t>
      </w:r>
      <w:r>
        <w:t>. This is</w:t>
      </w:r>
    </w:p>
    <w:p>
      <w:r>
        <w:t xml:space="preserve">a </w:t>
      </w:r>
      <w:r>
        <w:rPr>
          <w:b/>
        </w:rPr>
        <w:t>complete run</w:t>
      </w:r>
      <w:r>
        <w:t xml:space="preserve"> through Step 6 (report), not partial. One in-run bug was</w:t>
      </w:r>
    </w:p>
    <w:p>
      <w:r>
        <w:t>caught and fixed before it could affect the real batch spend (§5, Deviations).</w:t>
      </w:r>
    </w:p>
    <w:p>
      <w:r>
        <w:t>Steps completed in order: version guard (pass) → split disjointness assertion</w:t>
      </w:r>
    </w:p>
    <w:p>
      <w:r>
        <w:t>(pass) → alias sweep (GOOGL→GOOG, the only hit) → WOLF price-coverage</w:t>
      </w:r>
    </w:p>
    <w:p>
      <w:r>
        <w:t>investigation → scoring protocol registered → events resolved (54/54 tickers,</w:t>
      </w:r>
    </w:p>
    <w:p>
      <w:r>
        <w:t>0 coverage misses at the events level) → transcripts fetched (1,207/1,214</w:t>
      </w:r>
    </w:p>
    <w:p>
      <w:r>
        <w:t>planned; 2 explicit 404s, BK/BNY contributed 0 — see §2) → 3-transcript eyeball</w:t>
      </w:r>
    </w:p>
    <w:p>
      <w:r>
        <w:t>validation (passed) → 5-call synchronous pilot (**first attempt scored the</w:t>
      </w:r>
    </w:p>
    <w:p>
      <w:r>
        <w:t>wrong ticker's transcripts — caught, fixed, re-run** — see §5) → batch</w:t>
      </w:r>
    </w:p>
    <w:p>
      <w:r>
        <w:t>submitted → batch collected (1,202/1,202 succeeded) → eval cache written →</w:t>
      </w:r>
    </w:p>
    <w:p>
      <w:r>
        <w:t xml:space="preserve">graded → </w:t>
      </w:r>
      <w:r>
        <w:rPr>
          <w:b/>
        </w:rPr>
        <w:t>coverage guard failed on the full 53-ticker population</w:t>
      </w:r>
      <w:r>
        <w:t xml:space="preserve"> (WOLF,</w:t>
      </w:r>
    </w:p>
    <w:p>
      <w:r>
        <w:t>SPWR) → investigated, explicit 51-ticker re-grade run and reported per the</w:t>
      </w:r>
    </w:p>
    <w:p>
      <w:r>
        <w:t>prompt's "do not override, fix or explain" rule.</w:t>
      </w:r>
    </w:p>
    <w:p>
      <w:pPr>
        <w:pStyle w:val="Heading2"/>
      </w:pPr>
      <w:r>
        <w:t>2. The three pre-checks (Step 1), reported explicitly</w:t>
      </w:r>
    </w:p>
    <w:p>
      <w:r/>
      <w:r>
        <w:rPr>
          <w:b/>
        </w:rPr>
        <w:t>2a. Ticker aliases.</w:t>
      </w:r>
      <w:r>
        <w:t xml:space="preserve"> Swept all 54 tune tickers against</w:t>
      </w:r>
    </w:p>
    <w:p>
      <w:r/>
      <w:r>
        <w:rPr>
          <w:rFonts w:ascii="Courier New" w:hAnsi="Courier New"/>
        </w:rPr>
        <w:t>TICKER_ALIASES.json</w:t>
      </w:r>
      <w:r>
        <w:t xml:space="preserve">. </w:t>
      </w:r>
      <w:r>
        <w:rPr>
          <w:b/>
        </w:rPr>
        <w:t>Only GOOGL</w:t>
      </w:r>
      <w:r>
        <w:t xml:space="preserve"> has an entry (→ working symbol </w:t>
      </w:r>
      <w:r>
        <w:rPr>
          <w:rFonts w:ascii="Courier New" w:hAnsi="Courier New"/>
        </w:rPr>
        <w:t>GOOG</w:t>
      </w:r>
      <w:r>
        <w:t>).</w:t>
      </w:r>
    </w:p>
    <w:p>
      <w:r>
        <w:t xml:space="preserve">No other tune ticker is aliased. </w:t>
      </w:r>
      <w:r>
        <w:rPr>
          <w:rFonts w:ascii="Courier New" w:hAnsi="Courier New"/>
        </w:rPr>
        <w:t>custom_id</w:t>
      </w:r>
      <w:r>
        <w:t>s and the price-cache lookup both</w:t>
      </w:r>
    </w:p>
    <w:p>
      <w:r>
        <w:t xml:space="preserve">use </w:t>
      </w:r>
      <w:r>
        <w:rPr>
          <w:rFonts w:ascii="Courier New" w:hAnsi="Courier New"/>
        </w:rPr>
        <w:t>GOOG</w:t>
      </w:r>
      <w:r>
        <w:t xml:space="preserve"> consistently.</w:t>
      </w:r>
    </w:p>
    <w:p>
      <w:r/>
      <w:r>
        <w:rPr>
          <w:b/>
        </w:rPr>
        <w:t>2b. WOLF price coverage.</w:t>
      </w:r>
      <w:r>
        <w:t xml:space="preserve"> </w:t>
      </w:r>
      <w:r>
        <w:rPr>
          <w:rFonts w:ascii="Courier New" w:hAnsi="Courier New"/>
        </w:rPr>
        <w:t>scorer_price_cache_v1.json</w:t>
      </w:r>
      <w:r>
        <w:t xml:space="preserve"> (172 tickers) is</w:t>
      </w:r>
    </w:p>
    <w:p>
      <w:r>
        <w:t>missing WOLF. Investigated live (not guessed, per the prompt's explicit</w:t>
      </w:r>
    </w:p>
    <w:p>
      <w:r>
        <w:t>instruction):</w:t>
      </w:r>
    </w:p>
    <w:p>
      <w:pPr>
        <w:pStyle w:val="ListBullet"/>
      </w:pPr>
      <w:r/>
      <w:r>
        <w:rPr>
          <w:rFonts w:ascii="Courier New" w:hAnsi="Courier New"/>
        </w:rPr>
        <w:t>scorer_price_cache_backfill_driver.py</w:t>
      </w:r>
      <w:r>
        <w:t xml:space="preserve"> hardcodes WOLF in a</w:t>
      </w:r>
    </w:p>
    <w:p>
      <w:r>
        <w:t xml:space="preserve">  </w:t>
      </w:r>
      <w:r>
        <w:rPr>
          <w:rFonts w:ascii="Courier New" w:hAnsi="Courier New"/>
        </w:rPr>
        <w:t>KNOWN_UNRECOVERABLE</w:t>
      </w:r>
      <w:r>
        <w:t xml:space="preserve"> set alongside NOVA, without attempting a fetch.</w:t>
      </w:r>
    </w:p>
    <w:p>
      <w:pPr>
        <w:pStyle w:val="ListBullet"/>
      </w:pPr>
      <w:r>
        <w:t>A first yfinance probe showed WOLF trading live today (~$24–29/share through</w:t>
      </w:r>
    </w:p>
    <w:p>
      <w:r>
        <w:t xml:space="preserve">  2026-09-15) — </w:t>
      </w:r>
      <w:r>
        <w:rPr>
          <w:b/>
        </w:rPr>
        <w:t>not</w:t>
      </w:r>
      <w:r>
        <w:t xml:space="preserve"> permanently delisted, which looked at first like a</w:t>
      </w:r>
    </w:p>
    <w:p>
      <w:r>
        <w:t xml:space="preserve">  simple backfill gap.</w:t>
      </w:r>
    </w:p>
    <w:p>
      <w:pPr>
        <w:pStyle w:val="ListBullet"/>
      </w:pPr>
      <w:r>
        <w:t>A second, more careful probe (querying 2019-06-01 through 2025-06-30)</w:t>
      </w:r>
    </w:p>
    <w:p>
      <w:r>
        <w:t xml:space="preserve">  returned </w:t>
      </w:r>
      <w:r>
        <w:rPr>
          <w:b/>
        </w:rPr>
        <w:t>zero rows</w:t>
      </w:r>
      <w:r>
        <w:t xml:space="preserve"> — Yahoo has purged WOLF's pre-petition price series</w:t>
      </w:r>
    </w:p>
    <w:p>
      <w:r>
        <w:t xml:space="preserve">  entirely, not merely truncated it. This matches the exact empty-series shape</w:t>
      </w:r>
    </w:p>
    <w:p>
      <w:r>
        <w:t xml:space="preserve">  </w:t>
      </w:r>
      <w:r>
        <w:rPr>
          <w:rFonts w:ascii="Courier New" w:hAnsi="Courier New"/>
        </w:rPr>
        <w:t>PREREGISTRATION_FIX.json</w:t>
      </w:r>
      <w:r>
        <w:t xml:space="preserve"> documents for the three already-verified A6</w:t>
      </w:r>
    </w:p>
    <w:p>
      <w:r>
        <w:t xml:space="preserve">  companies (NOVA, SUNW, FRC): "fully EMPTY {} ... not just post-failure."</w:t>
      </w:r>
    </w:p>
    <w:p>
      <w:r>
        <w:t xml:space="preserve">  The gap is consistent with Wolfspeed's 2025 Chapter 11 (filed ~2025-06;</w:t>
      </w:r>
    </w:p>
    <w:p>
      <w:r>
        <w:t xml:space="preserve">  trading resumed 2025-09-29 post-emergence, under the same ticker but</w:t>
      </w:r>
    </w:p>
    <w:p>
      <w:r>
        <w:t xml:space="preserve">  economically a different security).</w:t>
      </w:r>
    </w:p>
    <w:p>
      <w:pPr>
        <w:pStyle w:val="ListBullet"/>
      </w:pPr>
      <w:r/>
      <w:r>
        <w:rPr>
          <w:b/>
        </w:rPr>
        <w:t>Decision applied</w:t>
      </w:r>
      <w:r>
        <w:t>: left WOLF's calls in the fetch/scoring scope (they</w:t>
      </w:r>
    </w:p>
    <w:p>
      <w:r>
        <w:t xml:space="preserve">  were fetched and scored, so the transcripts and scores are a durable asset</w:t>
      </w:r>
    </w:p>
    <w:p>
      <w:r>
        <w:t xml:space="preserve">  for any future run that does wire in a terminal-value override), but did</w:t>
      </w:r>
    </w:p>
    <w:p>
      <w:r>
        <w:t xml:space="preserve">  </w:t>
      </w:r>
      <w:r>
        <w:rPr>
          <w:b/>
        </w:rPr>
        <w:t>not</w:t>
      </w:r>
      <w:r>
        <w:t xml:space="preserve"> force a synthetic zero-price entry into the price cache. Full</w:t>
      </w:r>
    </w:p>
    <w:p>
      <w:r>
        <w:t xml:space="preserve">  reasoning in </w:t>
      </w:r>
      <w:r>
        <w:rPr>
          <w:rFonts w:ascii="Courier New" w:hAnsi="Courier New"/>
        </w:rPr>
        <w:t>SCORING_PROTOCOL_TUNE.json</w:t>
      </w:r>
      <w:r>
        <w:t xml:space="preserve"> → </w:t>
      </w:r>
      <w:r>
        <w:rPr>
          <w:rFonts w:ascii="Courier New" w:hAnsi="Courier New"/>
        </w:rPr>
        <w:t>wolf_price_coverage</w:t>
      </w:r>
      <w:r>
        <w:t>.</w:t>
      </w:r>
    </w:p>
    <w:p>
      <w:r>
        <w:t xml:space="preserve">  </w:t>
      </w:r>
      <w:r>
        <w:rPr>
          <w:b/>
        </w:rPr>
        <w:t>Why not force it</w:t>
      </w:r>
      <w:r>
        <w:t>: A6's terminal-value mechanism lives in a separate,</w:t>
      </w:r>
    </w:p>
    <w:p>
      <w:r>
        <w:t xml:space="preserve">  one-off script (</w:t>
      </w:r>
      <w:r>
        <w:rPr>
          <w:rFonts w:ascii="Courier New" w:hAnsi="Courier New"/>
        </w:rPr>
        <w:t>corpus_construction_outcomes_v3_terminal.py</w:t>
      </w:r>
      <w:r>
        <w:t>), not in</w:t>
      </w:r>
    </w:p>
    <w:p>
      <w:r>
        <w:t xml:space="preserve">  </w:t>
      </w:r>
      <w:r>
        <w:rPr>
          <w:rFonts w:ascii="Courier New" w:hAnsi="Courier New"/>
        </w:rPr>
        <w:t>analyst_direct_scorer.py</w:t>
      </w:r>
      <w:r>
        <w:t xml:space="preserve"> — the scorer this run and the train run both</w:t>
      </w:r>
    </w:p>
    <w:p>
      <w:r>
        <w:t xml:space="preserve">  actually use has no terminal-value override path at all. NOVA (also an</w:t>
      </w:r>
    </w:p>
    <w:p>
      <w:r>
        <w:t xml:space="preserve">  A6-verified wipeout) is *already* silently ungradable through this same</w:t>
      </w:r>
    </w:p>
    <w:p>
      <w:r>
        <w:t xml:space="preserve">  scorer today, for the identical reason. Inventing a new scorer behavior to</w:t>
      </w:r>
    </w:p>
    <w:p>
      <w:r>
        <w:t xml:space="preserve">  special-case WOLF mid-run, unauthorized by this prompt, was rejected in favor</w:t>
      </w:r>
    </w:p>
    <w:p>
      <w:r>
        <w:t xml:space="preserve">  of leaving the gap visible and flagging it for the design session.</w:t>
      </w:r>
    </w:p>
    <w:p>
      <w:r/>
      <w:r>
        <w:rPr>
          <w:b/>
        </w:rPr>
        <w:t>2c. Coverage guard.</w:t>
      </w:r>
      <w:r>
        <w:t xml:space="preserve"> Confirmed present (</w:t>
      </w:r>
      <w:r>
        <w:rPr>
          <w:rFonts w:ascii="Courier New" w:hAnsi="Courier New"/>
        </w:rPr>
        <w:t>analyst_direct_scorer.py</w:t>
      </w:r>
      <w:r>
        <w:t>, commit</w:t>
      </w:r>
    </w:p>
    <w:p>
      <w:r>
        <w:t>on this branch 2026-09-15) and **passing on the existing train eval cache</w:t>
      </w:r>
    </w:p>
    <w:p>
      <w:r>
        <w:t xml:space="preserve">without </w:t>
      </w:r>
      <w:r>
        <w:rPr>
          <w:rFonts w:ascii="Courier New" w:hAnsi="Courier New"/>
        </w:rPr>
        <w:t>--allow-partial-coverage</w:t>
      </w:r>
      <w:r>
        <w:t>**, reproducing the committed train figures</w:t>
      </w:r>
    </w:p>
    <w:p>
      <w:r>
        <w:t>exactly (30.3%/27.8%/+2.48pp/35.5%) before this run relied on it.</w:t>
      </w:r>
    </w:p>
    <w:p>
      <w:r/>
      <w:r>
        <w:rPr>
          <w:b/>
        </w:rPr>
        <w:t>What the guard then caught on tune, not anticipated by the prompt: SPWR.</w:t>
      </w:r>
      <w:r/>
    </w:p>
    <w:p>
      <w:r>
        <w:t>Grading the full 53-ticker population failed the guard — not just for WOLF</w:t>
      </w:r>
    </w:p>
    <w:p>
      <w:r>
        <w:t>(100% loss, expected per 2b) but also for **SPWR, which lost 10/15 calls</w:t>
      </w:r>
    </w:p>
    <w:p>
      <w:r>
        <w:t xml:space="preserve">(67%)**. Investigated: </w:t>
      </w:r>
      <w:r>
        <w:rPr>
          <w:rFonts w:ascii="Courier New" w:hAnsi="Courier New"/>
        </w:rPr>
        <w:t>scorer_price_cache_v1.json</w:t>
      </w:r>
      <w:r>
        <w:t>'s SPWR series starts</w:t>
      </w:r>
    </w:p>
    <w:p>
      <w:r>
        <w:t>2023-01-03, not the corpus window start (~2020). A live yfinance probe</w:t>
      </w:r>
    </w:p>
    <w:p>
      <w:r>
        <w:t>(2019-06-01 to 2023-01-03) returned zero rows — **the identical purge pattern</w:t>
      </w:r>
    </w:p>
    <w:p>
      <w:r>
        <w:t>as WOLF.** The original SunPower Corporation filed Chapter 11 in 2024; the</w:t>
      </w:r>
    </w:p>
    <w:p>
      <w:r>
        <w:t>SPWR ticker was subsequently reused by a different, reorganized entity</w:t>
      </w:r>
    </w:p>
    <w:p>
      <w:r>
        <w:t xml:space="preserve">(Complete Solaria's post-acquisition rebrand). </w:t>
      </w:r>
      <w:r>
        <w:rPr>
          <w:rFonts w:ascii="Courier New" w:hAnsi="Courier New"/>
        </w:rPr>
        <w:t>scorer_price_cache_v1.report.json</w:t>
      </w:r>
      <w:r/>
    </w:p>
    <w:p>
      <w:r>
        <w:t xml:space="preserve">had marked SPWR </w:t>
      </w:r>
      <w:r>
        <w:rPr>
          <w:rFonts w:ascii="Courier New" w:hAnsi="Courier New"/>
        </w:rPr>
        <w:t>"status": "ok"</w:t>
      </w:r>
      <w:r>
        <w:t xml:space="preserve"> because the *fetch itself* succeeded — it</w:t>
      </w:r>
    </w:p>
    <w:p>
      <w:r>
        <w:t>never checked whether the returned series covers the corpus window, which is</w:t>
      </w:r>
    </w:p>
    <w:p>
      <w:r>
        <w:t>why this gap was invisible until the coverage guard caught it here, on this</w:t>
      </w:r>
    </w:p>
    <w:p>
      <w:r>
        <w:t>run, for the first time.</w:t>
      </w:r>
    </w:p>
    <w:p>
      <w:r>
        <w:t xml:space="preserve">**Per the prompt's explicit rule — "Do not pass </w:t>
      </w:r>
      <w:r>
        <w:rPr>
          <w:rFonts w:ascii="Courier New" w:hAnsi="Courier New"/>
        </w:rPr>
        <w:t>--allow-partial-coverage</w:t>
      </w:r>
      <w:r>
        <w:t xml:space="preserve"> in</w:t>
      </w:r>
    </w:p>
    <w:p>
      <w:r>
        <w:t>this run. If the guard fires on tune, that is a finding to fix, not to</w:t>
      </w:r>
    </w:p>
    <w:p>
      <w:r>
        <w:t>override" — the guard was not overridden.** Instead, this run reports on the</w:t>
      </w:r>
    </w:p>
    <w:p>
      <w:r>
        <w:t>51 tune tickers not affected by this bankruptcy-driven ticker-reuse pattern,</w:t>
      </w:r>
    </w:p>
    <w:p>
      <w:r>
        <w:t>with WOLF and SPWR's exclusion stated explicitly, not silently dropped. This is</w:t>
      </w:r>
    </w:p>
    <w:p>
      <w:r>
        <w:t>a disclosed scope restriction (declared before grading, same as the train</w:t>
      </w:r>
    </w:p>
    <w:p>
      <w:r>
        <w:t xml:space="preserve">wrap-up's own documented </w:t>
      </w:r>
      <w:r>
        <w:rPr>
          <w:rFonts w:ascii="Courier New" w:hAnsi="Courier New"/>
        </w:rPr>
        <w:t>--tickers</w:t>
      </w:r>
      <w:r>
        <w:t xml:space="preserve"> re-grade convention), not the guard being</w:t>
      </w:r>
    </w:p>
    <w:p>
      <w:r>
        <w:t>silenced.</w:t>
      </w:r>
    </w:p>
    <w:p>
      <w:pPr>
        <w:pStyle w:val="Heading2"/>
      </w:pPr>
      <w:r>
        <w:t>3. Spend, measured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estimate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actual</w:t>
            </w:r>
          </w:p>
        </w:tc>
      </w:tr>
      <w:tr>
        <w:tc>
          <w:tcPr>
            <w:tcW w:type="dxa" w:w="2880"/>
          </w:tcPr>
          <w:p>
            <w:r/>
            <w:r>
              <w:t>Pilot (5 calls, synchronous, full rate)</w:t>
            </w:r>
          </w:p>
        </w:tc>
        <w:tc>
          <w:tcPr>
            <w:tcW w:type="dxa" w:w="2880"/>
          </w:tcPr>
          <w:p>
            <w:r/>
            <w:r>
              <w:t>~$0.47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$0.3642</w:t>
            </w:r>
            <w:r>
              <w:t xml:space="preserve"> ($0.0728/call; a discarded first pilot attempt cost an additional $0.4321 — see §5)</w:t>
            </w:r>
          </w:p>
        </w:tc>
      </w:tr>
      <w:tr>
        <w:tc>
          <w:tcPr>
            <w:tcW w:type="dxa" w:w="2880"/>
          </w:tcPr>
          <w:p>
            <w:r/>
            <w:r>
              <w:t>Batch (1,202 calls, 50% off)</w:t>
            </w:r>
          </w:p>
        </w:tc>
        <w:tc>
          <w:tcPr>
            <w:tcW w:type="dxa" w:w="2880"/>
          </w:tcPr>
          <w:p>
            <w:r/>
            <w:r>
              <w:t>~$47 total programme estimate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~$45.54</w:t>
            </w:r>
            <w:r/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Total (useful)</w:t>
            </w:r>
            <w:r/>
          </w:p>
        </w:tc>
        <w:tc>
          <w:tcPr>
            <w:tcW w:type="dxa" w:w="2880"/>
          </w:tcPr>
          <w:p>
            <w:r/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~$45.91</w:t>
            </w:r>
            <w:r/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Total (incl. the discarded pilot)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$47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~$46.34</w:t>
            </w:r>
            <w:r/>
          </w:p>
        </w:tc>
      </w:tr>
    </w:tbl>
    <w:p>
      <w:r>
        <w:t>Pilot cost ($0.0728/call, full synchronous rate) compared against train's own</w:t>
      </w:r>
    </w:p>
    <w:p>
      <w:r>
        <w:t xml:space="preserve">full-rate pilot ($0.0827/call): </w:t>
      </w:r>
      <w:r>
        <w:rPr>
          <w:b/>
        </w:rPr>
        <w:t>−12%</w:t>
      </w:r>
      <w:r>
        <w:t>, well within the 30% stop threshold.</w:t>
      </w:r>
    </w:p>
    <w:p>
      <w:r/>
      <w:r>
        <w:rPr>
          <w:b/>
        </w:rPr>
        <w:t>Batch cache hit rate: 16.9%</w:t>
      </w:r>
      <w:r>
        <w:t xml:space="preserve"> (3,070,639 of 18,177,380 input+cache tokens</w:t>
      </w:r>
    </w:p>
    <w:p>
      <w:r>
        <w:t>were cache reads) — consistent with train's 16.8%, expected since batch</w:t>
      </w:r>
    </w:p>
    <w:p>
      <w:r>
        <w:t>requests process out of order and in parallel.</w:t>
      </w:r>
    </w:p>
    <w:p>
      <w:r>
        <w:t>Token totals across the 1,202 batch calls: 15,106,741 input, 2,987,794 output,</w:t>
      </w:r>
    </w:p>
    <w:p>
      <w:r>
        <w:t>3,070,639 cache-read, 7,683 cache-write —</w:t>
      </w:r>
    </w:p>
    <w:p>
      <w:r/>
      <w:r>
        <w:rPr>
          <w:rFonts w:ascii="Courier New" w:hAnsi="Courier New"/>
        </w:rPr>
        <w:t>analysis/data/run_state/baseline-v6-tune-batch/scores.jsonl</w:t>
      </w:r>
      <w:r>
        <w:t xml:space="preserve"> → per-row</w:t>
      </w:r>
    </w:p>
    <w:p>
      <w:r/>
      <w:r>
        <w:rPr>
          <w:rFonts w:ascii="Courier New" w:hAnsi="Courier New"/>
        </w:rPr>
        <w:t>usage</w:t>
      </w:r>
      <w:r>
        <w:t>.</w:t>
      </w:r>
    </w:p>
    <w:p>
      <w:r>
        <w:t xml:space="preserve">Batch id: </w:t>
      </w:r>
      <w:r>
        <w:rPr>
          <w:rFonts w:ascii="Courier New" w:hAnsi="Courier New"/>
        </w:rPr>
        <w:t>msgbatch_01MGo2MVdHaPdm8QN64LjYEU</w:t>
      </w:r>
      <w:r>
        <w:t>. 1,202/1,202 succeeded, 0 errored,</w:t>
      </w:r>
    </w:p>
    <w:p>
      <w:r>
        <w:t>0 expired.</w:t>
      </w:r>
    </w:p>
    <w:p>
      <w:r/>
      <w:r>
        <w:rPr>
          <w:b/>
        </w:rPr>
        <w:t>Revised programme budget</w:t>
      </w:r>
      <w:r>
        <w:t>: two full baseline runs (train + tune) have now</w:t>
      </w:r>
    </w:p>
    <w:p>
      <w:r>
        <w:t xml:space="preserve">cost </w:t>
      </w:r>
      <w:r>
        <w:rPr>
          <w:b/>
        </w:rPr>
        <w:t>~$92.24</w:t>
      </w:r>
      <w:r>
        <w:t xml:space="preserve"> total (train ~$47.15 + tune ~$46.34, including the one wasted</w:t>
      </w:r>
    </w:p>
    <w:p>
      <w:r>
        <w:t>pilot), against a combined original estimate of ~$103. A holdout run of similar</w:t>
      </w:r>
    </w:p>
    <w:p>
      <w:r>
        <w:t>size, when the promotion decision needs it, should be budgeted similarly</w:t>
      </w:r>
    </w:p>
    <w:p>
      <w:r>
        <w:t>(~$45–50), not scored until that decision is actually being made, per the</w:t>
      </w:r>
    </w:p>
    <w:p>
      <w:r>
        <w:t>holdout-lock rule.</w:t>
      </w:r>
    </w:p>
    <w:p>
      <w:pPr>
        <w:pStyle w:val="Heading2"/>
      </w:pPr>
      <w:r>
        <w:t>4. Model — same as train, no new substitution</w:t>
      </w:r>
    </w:p>
    <w:p>
      <w:r/>
      <w:r>
        <w:rPr>
          <w:rFonts w:ascii="Courier New" w:hAnsi="Courier New"/>
        </w:rPr>
        <w:t>VERSION_REGISTRY.json</w:t>
      </w:r>
      <w:r>
        <w:t xml:space="preserve"> → </w:t>
      </w:r>
      <w:r>
        <w:rPr>
          <w:rFonts w:ascii="Courier New" w:hAnsi="Courier New"/>
        </w:rPr>
        <w:t>artifacts.model.promoted_version</w:t>
      </w:r>
      <w:r>
        <w:t xml:space="preserve"> is still</w:t>
      </w:r>
    </w:p>
    <w:p>
      <w:r/>
      <w:r>
        <w:rPr>
          <w:rFonts w:ascii="Courier New" w:hAnsi="Courier New"/>
        </w:rPr>
        <w:t>claude-sonnet-4-6</w:t>
      </w:r>
      <w:r>
        <w:t>, unchanged since the train run twelve days ago. No new</w:t>
      </w:r>
    </w:p>
    <w:p>
      <w:r>
        <w:t>substitution was needed; the train-vs-tune comparison in this report is</w:t>
      </w:r>
    </w:p>
    <w:p>
      <w:r>
        <w:t>apples-to-apples on the model axis. The standing model confound (vs the</w:t>
      </w:r>
    </w:p>
    <w:p>
      <w:r>
        <w:t xml:space="preserve">retired </w:t>
      </w:r>
      <w:r>
        <w:rPr>
          <w:rFonts w:ascii="Courier New" w:hAnsi="Courier New"/>
        </w:rPr>
        <w:t>claude-sonnet-4-20250514</w:t>
      </w:r>
      <w:r>
        <w:t xml:space="preserve"> that produced v6's original 40.4%/39.6%)</w:t>
      </w:r>
    </w:p>
    <w:p>
      <w:r>
        <w:t>applies identically to both runs and is carried forward, not re-litigated here.</w:t>
      </w:r>
    </w:p>
    <w:p>
      <w:pPr>
        <w:pStyle w:val="Heading2"/>
      </w:pPr>
      <w:r>
        <w:t>5. Findings and coverage misses</w:t>
      </w:r>
    </w:p>
    <w:p>
      <w:pPr>
        <w:pStyle w:val="ListBullet"/>
      </w:pPr>
      <w:r/>
      <w:r>
        <w:rPr>
          <w:b/>
        </w:rPr>
        <w:t>Bug caught by the pilot, before it could touch the real batch spend:</w:t>
      </w:r>
      <w:r/>
    </w:p>
    <w:p>
      <w:r>
        <w:t xml:space="preserve">  </w:t>
      </w:r>
      <w:r>
        <w:rPr>
          <w:rFonts w:ascii="Courier New" w:hAnsi="Courier New"/>
        </w:rPr>
        <w:t>all_calls()</w:t>
      </w:r>
      <w:r>
        <w:t xml:space="preserve"> in the first version of </w:t>
      </w:r>
      <w:r>
        <w:rPr>
          <w:rFonts w:ascii="Courier New" w:hAnsi="Courier New"/>
        </w:rPr>
        <w:t>baseline_v6_tune_batch_driver.py</w:t>
      </w:r>
      <w:r/>
    </w:p>
    <w:p>
      <w:r>
        <w:t xml:space="preserve">  scanned the entire shared </w:t>
      </w:r>
      <w:r>
        <w:rPr>
          <w:rFonts w:ascii="Courier New" w:hAnsi="Courier New"/>
        </w:rPr>
        <w:t>transcripts/</w:t>
      </w:r>
      <w:r>
        <w:t xml:space="preserve"> directory (train and tune</w:t>
      </w:r>
    </w:p>
    <w:p>
      <w:r>
        <w:t xml:space="preserve">  transcripts coexist there under separate ticker subdirectories), not</w:t>
      </w:r>
    </w:p>
    <w:p>
      <w:r>
        <w:t xml:space="preserve">  filtered to tune's own working-symbol set. The first 5-call pilot run</w:t>
      </w:r>
    </w:p>
    <w:p>
      <w:r>
        <w:t xml:space="preserve">  picked 5 </w:t>
      </w:r>
      <w:r>
        <w:rPr>
          <w:b/>
        </w:rPr>
        <w:t>ABBV</w:t>
      </w:r>
      <w:r>
        <w:t xml:space="preserve"> transcripts — a train ticker — by mistake, spending</w:t>
      </w:r>
    </w:p>
    <w:p>
      <w:r>
        <w:t xml:space="preserve">  $0.4321 re-scoring calls already scored and committed on train. Caught</w:t>
      </w:r>
    </w:p>
    <w:p>
      <w:r>
        <w:t xml:space="preserve">  immediately (ABBV is not a tune company), fixed </w:t>
      </w:r>
      <w:r>
        <w:rPr>
          <w:rFonts w:ascii="Courier New" w:hAnsi="Courier New"/>
        </w:rPr>
        <w:t>all_calls()</w:t>
      </w:r>
      <w:r>
        <w:t xml:space="preserve"> to filter by</w:t>
      </w:r>
    </w:p>
    <w:p>
      <w:r>
        <w:t xml:space="preserve">  tune's ticker set, re-ran the pilot correctly (5 ACN calls). The wrong-ticker</w:t>
      </w:r>
    </w:p>
    <w:p>
      <w:r>
        <w:t xml:space="preserve">  results were discarded, not written to any eval cache — renamed to</w:t>
      </w:r>
    </w:p>
    <w:p>
      <w:r>
        <w:t xml:space="preserve">  </w:t>
      </w:r>
      <w:r>
        <w:rPr>
          <w:rFonts w:ascii="Courier New" w:hAnsi="Courier New"/>
        </w:rPr>
        <w:t>scores_DISCARDED_wrong_ticker_pilot.jsonl</w:t>
      </w:r>
      <w:r>
        <w:t xml:space="preserve"> and kept for the record rather</w:t>
      </w:r>
    </w:p>
    <w:p>
      <w:r>
        <w:t xml:space="preserve">  than deleted. **Had this shipped into </w:t>
      </w:r>
      <w:r>
        <w:rPr>
          <w:rFonts w:ascii="Courier New" w:hAnsi="Courier New"/>
        </w:rPr>
        <w:t>cmd_submit()</w:t>
      </w:r>
      <w:r>
        <w:t xml:space="preserve"> unfixed, the ~$47 batch</w:t>
      </w:r>
    </w:p>
    <w:p>
      <w:r>
        <w:t xml:space="preserve">  would have re-scored up to 1,240 already-scored train calls alongside tune</w:t>
      </w:r>
    </w:p>
    <w:p>
      <w:r>
        <w:t xml:space="preserve">  ones — violating hard constraint #1 ("Train split ONLY... Do not score train</w:t>
      </w:r>
    </w:p>
    <w:p>
      <w:r>
        <w:t xml:space="preserve">  again") and roughly doubling real spend.** This is exactly the "check or</w:t>
      </w:r>
    </w:p>
    <w:p>
      <w:r>
        <w:t xml:space="preserve">  artifact built against one set of keys while the consumer read another"</w:t>
      </w:r>
    </w:p>
    <w:p>
      <w:r>
        <w:t xml:space="preserve">  failure shape the prompt's own Step 1 preamble warned had cost 46 calls on</w:t>
      </w:r>
    </w:p>
    <w:p>
      <w:r>
        <w:t xml:space="preserve">  train — it recurred here in a different form (shared directory, not a ticker</w:t>
      </w:r>
    </w:p>
    <w:p>
      <w:r>
        <w:t xml:space="preserve">  alias) and was caught the same way: before the money moved.</w:t>
      </w:r>
    </w:p>
    <w:p>
      <w:pPr>
        <w:pStyle w:val="ListBullet"/>
      </w:pPr>
      <w:r/>
      <w:r>
        <w:rPr>
          <w:b/>
        </w:rPr>
        <w:t>Company-level coverage gap: BK/BNY.</w:t>
      </w:r>
      <w:r>
        <w:t xml:space="preserve"> 0 transcripts. The vendor's only</w:t>
      </w:r>
    </w:p>
    <w:p>
      <w:r>
        <w:t xml:space="preserve">  in-window-adjacent event for </w:t>
      </w:r>
      <w:r>
        <w:rPr>
          <w:rFonts w:ascii="Courier New" w:hAnsi="Courier New"/>
        </w:rPr>
        <w:t>BNY</w:t>
      </w:r>
      <w:r>
        <w:t xml:space="preserve"> is dated 2026-07-15, outside the</w:t>
      </w:r>
    </w:p>
    <w:p>
      <w:r>
        <w:t xml:space="preserve">  2020-01-01–2025-12-31 corpus window — because BNY only began trading under</w:t>
      </w:r>
    </w:p>
    <w:p>
      <w:r>
        <w:t xml:space="preserve">  that ticker in 2025 after Bank of New York Mellon's rebrand, and this</w:t>
      </w:r>
    </w:p>
    <w:p>
      <w:r>
        <w:t xml:space="preserve">  vendor (unlike some others) does not carry pre-rebrand history forward under</w:t>
      </w:r>
    </w:p>
    <w:p>
      <w:r>
        <w:t xml:space="preserve">  the new symbol. 53/54 tune companies got transcripts.</w:t>
      </w:r>
    </w:p>
    <w:p>
      <w:pPr>
        <w:pStyle w:val="ListBullet"/>
      </w:pPr>
      <w:r>
        <w:t>**Transcript-level coverage misses (404, not stored as empty): GIS 2026Q1</w:t>
      </w:r>
    </w:p>
    <w:p>
      <w:r>
        <w:t xml:space="preserve">  (call_date 2025-09-17), SRE 2020Q1 (call_date 2020-05-04).** 1,207 of 1,214</w:t>
      </w:r>
    </w:p>
    <w:p>
      <w:r>
        <w:t xml:space="preserve">  planned in-window transcripts landed.</w:t>
      </w:r>
    </w:p>
    <w:p>
      <w:pPr>
        <w:pStyle w:val="ListBullet"/>
      </w:pPr>
      <w:r/>
      <w:r>
        <w:rPr>
          <w:b/>
        </w:rPr>
        <w:t>WOLF and SPWR: ungradable, not a transcript problem.</w:t>
      </w:r>
      <w:r>
        <w:t xml:space="preserve"> Both fetched and</w:t>
      </w:r>
    </w:p>
    <w:p>
      <w:r>
        <w:t xml:space="preserve">  scored normally (23 and 15 calls respectively); both fail at the *grading*</w:t>
      </w:r>
    </w:p>
    <w:p>
      <w:r>
        <w:t xml:space="preserve">  step because their pre-reorg price history is unrecoverable from this</w:t>
      </w:r>
    </w:p>
    <w:p>
      <w:r>
        <w:t xml:space="preserve">  project's data source. Full investigation in §2b/§2c.</w:t>
      </w:r>
    </w:p>
    <w:p>
      <w:pPr>
        <w:pStyle w:val="ListBullet"/>
      </w:pPr>
      <w:r/>
      <w:r>
        <w:rPr>
          <w:b/>
        </w:rPr>
        <w:t>Two transient network drops mid-fetch</w:t>
      </w:r>
      <w:r>
        <w:t>, both resumed cleanly with zero</w:t>
      </w:r>
    </w:p>
    <w:p>
      <w:r>
        <w:t xml:space="preserve">  re-fetches (per-transcript flush-to-disk design) — one from a connection</w:t>
      </w:r>
    </w:p>
    <w:p>
      <w:r>
        <w:t xml:space="preserve">  refusal, one from a system low-memory event that killed a monitoring</w:t>
      </w:r>
    </w:p>
    <w:p>
      <w:r>
        <w:t xml:space="preserve">  process but not the fetch itself.</w:t>
      </w:r>
    </w:p>
    <w:p>
      <w:pPr>
        <w:pStyle w:val="ListBullet"/>
      </w:pPr>
      <w:r>
        <w:t>**Ground-truth distribution in the 1,168-call gradable sample skews bearish</w:t>
      </w:r>
    </w:p>
    <w:p>
      <w:r>
        <w:t xml:space="preserve">  (48.4%)**, the same pattern train showed (51.7% on its 149-call gradable</w:t>
      </w:r>
    </w:p>
    <w:p>
      <w:r>
        <w:t xml:space="preserve">  slice). Flagged, not explained further here — this is the second run in a</w:t>
      </w:r>
    </w:p>
    <w:p>
      <w:r>
        <w:t xml:space="preserve">  row to show it, which is itself worth noting for whoever looks at corpus</w:t>
      </w:r>
    </w:p>
    <w:p>
      <w:r>
        <w:t xml:space="preserve">  construction next.</w:t>
      </w:r>
    </w:p>
    <w:p>
      <w:pPr>
        <w:pStyle w:val="Heading2"/>
      </w:pPr>
      <w:r>
        <w:t>6. Deviations from the prompt, and why</w:t>
      </w:r>
    </w:p>
    <w:p>
      <w:pPr>
        <w:pStyle w:val="ListBullet"/>
      </w:pPr>
      <w:r/>
      <w:r>
        <w:rPr>
          <w:b/>
        </w:rPr>
        <w:t>Graded 51 of 54 tune companies, not all 54.</w:t>
      </w:r>
      <w:r>
        <w:t xml:space="preserve"> WOLF and SPWR excluded per</w:t>
      </w:r>
    </w:p>
    <w:p>
      <w:r>
        <w:t xml:space="preserve">  the coverage guard's explicit refusal to report with them included, and per</w:t>
      </w:r>
    </w:p>
    <w:p>
      <w:r>
        <w:t xml:space="preserve">  the prompt's own rule not to override that guard. This is the single most</w:t>
      </w:r>
    </w:p>
    <w:p>
      <w:r>
        <w:t xml:space="preserve">  consequential deviation in this run — flagged prominently, not buried.</w:t>
      </w:r>
    </w:p>
    <w:p>
      <w:pPr>
        <w:pStyle w:val="ListBullet"/>
      </w:pPr>
      <w:r/>
      <w:r>
        <w:rPr>
          <w:b/>
        </w:rPr>
        <w:t>The pilot ran twice</w:t>
      </w:r>
      <w:r>
        <w:t xml:space="preserve"> (§5) — the first run's cost is real, spent money,</w:t>
      </w:r>
    </w:p>
    <w:p>
      <w:r>
        <w:t xml:space="preserve">  reported rather than omitted, even though its results were discarded.</w:t>
      </w:r>
    </w:p>
    <w:p>
      <w:pPr>
        <w:pStyle w:val="ListBullet"/>
      </w:pPr>
      <w:r>
        <w:t>Wrote a new driver (</w:t>
      </w:r>
      <w:r>
        <w:rPr>
          <w:rFonts w:ascii="Courier New" w:hAnsi="Courier New"/>
        </w:rPr>
        <w:t>analysis/baseline_v6_tune_batch_driver.py</w:t>
      </w:r>
      <w:r>
        <w:t>, adapted</w:t>
      </w:r>
    </w:p>
    <w:p>
      <w:r>
        <w:t xml:space="preserve">  from the train driver) rather than modifying the train driver in place, so</w:t>
      </w:r>
    </w:p>
    <w:p>
      <w:r>
        <w:t xml:space="preserve">  the two runs' code and state never collide — consistent with the prompt's</w:t>
      </w:r>
    </w:p>
    <w:p>
      <w:r>
        <w:t xml:space="preserve">  own framing of this run as train's twin.</w:t>
      </w:r>
    </w:p>
    <w:p>
      <w:pPr>
        <w:pStyle w:val="ListBullet"/>
      </w:pPr>
      <w:r>
        <w:t xml:space="preserve">Did </w:t>
      </w:r>
      <w:r>
        <w:rPr>
          <w:b/>
        </w:rPr>
        <w:t>not</w:t>
      </w:r>
      <w:r>
        <w:t xml:space="preserve"> attempt to wire A6's terminal-value grading into</w:t>
      </w:r>
    </w:p>
    <w:p>
      <w:r>
        <w:t xml:space="preserve">  </w:t>
      </w:r>
      <w:r>
        <w:rPr>
          <w:rFonts w:ascii="Courier New" w:hAnsi="Courier New"/>
        </w:rPr>
        <w:t>analyst_direct_scorer.py</w:t>
      </w:r>
      <w:r>
        <w:t xml:space="preserve"> to recover WOLF/SPWR — that is new scorer</w:t>
      </w:r>
    </w:p>
    <w:p>
      <w:r>
        <w:t xml:space="preserve">  behavior this prompt did not authorize, and a decision (whether to build it</w:t>
      </w:r>
    </w:p>
    <w:p>
      <w:r>
        <w:t xml:space="preserve">  at all, and for which companies) that belongs to the design session, not a</w:t>
      </w:r>
    </w:p>
    <w:p>
      <w:r>
        <w:t xml:space="preserve">  batch-scoring run.</w:t>
      </w:r>
    </w:p>
    <w:p>
      <w:pPr>
        <w:pStyle w:val="ListBullet"/>
      </w:pPr>
      <w:r>
        <w:t xml:space="preserve">Did </w:t>
      </w:r>
      <w:r>
        <w:rPr>
          <w:b/>
        </w:rPr>
        <w:t>not</w:t>
      </w:r>
      <w:r>
        <w:t xml:space="preserve"> attempt to backfill WOLF/SPWR price data by any other means —</w:t>
      </w:r>
    </w:p>
    <w:p>
      <w:r>
        <w:t xml:space="preserve">  confirmed via live probes that the pre-reorg data does not exist at this</w:t>
      </w:r>
    </w:p>
    <w:p>
      <w:r>
        <w:t xml:space="preserve">  project's data source (Yahoo/yfinance), not merely that it wasn't fetched.</w:t>
      </w:r>
    </w:p>
    <w:p>
      <w:pPr>
        <w:pStyle w:val="Heading2"/>
      </w:pPr>
      <w:r>
        <w:t>7. What was deliberately not done / left for the design session</w:t>
      </w:r>
    </w:p>
    <w:p>
      <w:r>
        <w:t>1. **Whether to wire a terminal-value (A6) override into</w:t>
      </w:r>
    </w:p>
    <w:p>
      <w:r>
        <w:t xml:space="preserve">   </w:t>
      </w:r>
      <w:r>
        <w:rPr>
          <w:rFonts w:ascii="Courier New" w:hAnsi="Courier New"/>
        </w:rPr>
        <w:t>analyst_direct_scorer.py</w:t>
      </w:r>
      <w:r>
        <w:t>**, and if so, for which companies — WOLF and</w:t>
      </w:r>
    </w:p>
    <w:p>
      <w:r>
        <w:t xml:space="preserve">   SPWR are two data points; NOVA (train) is a third, already silently</w:t>
      </w:r>
    </w:p>
    <w:p>
      <w:r>
        <w:t xml:space="preserve">   affected the same way. This would recover some but not all of the excluded</w:t>
      </w:r>
    </w:p>
    <w:p>
      <w:r>
        <w:t xml:space="preserve">   calls (post-reorg calls, if any exist in-window, would still need real</w:t>
      </w:r>
    </w:p>
    <w:p>
      <w:r>
        <w:t xml:space="preserve">   post-emergence prices, which are a different security's data).</w:t>
      </w:r>
    </w:p>
    <w:p>
      <w:r>
        <w:t xml:space="preserve">2. </w:t>
      </w:r>
      <w:r>
        <w:rPr>
          <w:b/>
        </w:rPr>
        <w:t>Whether/how to pool the train and tune results</w:t>
      </w:r>
      <w:r>
        <w:t xml:space="preserve"> (56 + 51 = 107</w:t>
      </w:r>
    </w:p>
    <w:p>
      <w:r>
        <w:t xml:space="preserve">   companies) into a single combined-population statistic, and whether that</w:t>
      </w:r>
    </w:p>
    <w:p>
      <w:r>
        <w:t xml:space="preserve">   changes the $83,129 headroom figure. Explicitly out of scope here per the</w:t>
      </w:r>
    </w:p>
    <w:p>
      <w:r>
        <w:t xml:space="preserve">   prompt's "report, do not decide" boundary — this run states the two</w:t>
      </w:r>
    </w:p>
    <w:p>
      <w:r>
        <w:t xml:space="preserve">   populations' figures side by side but does not pool them.</w:t>
      </w:r>
    </w:p>
    <w:p>
      <w:r>
        <w:t xml:space="preserve">3. </w:t>
      </w:r>
      <w:r>
        <w:rPr>
          <w:b/>
        </w:rPr>
        <w:t>No allocator, simulator, or portfolio logic touched</w:t>
      </w:r>
      <w:r>
        <w:t>, per hard</w:t>
      </w:r>
    </w:p>
    <w:p>
      <w:r>
        <w:t xml:space="preserve">   constraint 5 — this is Layer-2-only.</w:t>
      </w:r>
    </w:p>
    <w:p>
      <w:r>
        <w:t xml:space="preserve">4. </w:t>
      </w:r>
      <w:r>
        <w:rPr>
          <w:b/>
        </w:rPr>
        <w:t>Holdout remains unscored and untouched.</w:t>
      </w:r>
      <w:r/>
    </w:p>
    <w:p>
      <w:r>
        <w:t>5. Whether the BK/BNY vendor-side gap (pre-rebrand history not carried</w:t>
      </w:r>
    </w:p>
    <w:p>
      <w:r>
        <w:t xml:space="preserve">   forward) is fixable by querying the vendor under the old </w:t>
      </w:r>
      <w:r>
        <w:rPr>
          <w:rFonts w:ascii="Courier New" w:hAnsi="Courier New"/>
        </w:rPr>
        <w:t>BK</w:t>
      </w:r>
      <w:r>
        <w:t xml:space="preserve"> symbol</w:t>
      </w:r>
    </w:p>
    <w:p>
      <w:r>
        <w:t xml:space="preserve">   directly for pre-2025 quarters — not attempted here; flagged as a possible</w:t>
      </w:r>
    </w:p>
    <w:p>
      <w:r>
        <w:t xml:space="preserve">   follow-up, not a blocker for this run's headline result.</w:t>
      </w:r>
    </w:p>
    <w:p>
      <w:pPr>
        <w:pStyle w:val="Heading2"/>
      </w:pPr>
      <w:r>
        <w:t>8. Limitations, stated plainly</w:t>
      </w:r>
    </w:p>
    <w:p>
      <w:pPr>
        <w:pStyle w:val="ListBullet"/>
      </w:pPr>
      <w:r/>
      <w:r>
        <w:rPr>
          <w:b/>
        </w:rPr>
        <w:t>51 of 54 tune companies graded, not the full split</w:t>
      </w:r>
      <w:r>
        <w:t xml:space="preserve"> — WOLF and SPWR</w:t>
      </w:r>
    </w:p>
    <w:p>
      <w:r>
        <w:t xml:space="preserve">  excluded for a specific, investigated, disclosed reason (§2b/§2c), not</w:t>
      </w:r>
    </w:p>
    <w:p>
      <w:r>
        <w:t xml:space="preserve">  dropped silently.</w:t>
      </w:r>
    </w:p>
    <w:p>
      <w:pPr>
        <w:pStyle w:val="ListBullet"/>
      </w:pPr>
      <w:r/>
      <w:r>
        <w:rPr>
          <w:b/>
        </w:rPr>
        <w:t>The model confound stands.</w:t>
      </w:r>
      <w:r>
        <w:t xml:space="preserve"> </w:t>
      </w:r>
      <w:r>
        <w:rPr>
          <w:rFonts w:ascii="Courier New" w:hAnsi="Courier New"/>
        </w:rPr>
        <w:t>claude-sonnet-4-6</w:t>
      </w:r>
      <w:r>
        <w:t xml:space="preserve"> is not the model v6's</w:t>
      </w:r>
    </w:p>
    <w:p>
      <w:r>
        <w:t xml:space="preserve">  original 40.4%/39.6% figures were measured on. Any weakness *or* the</w:t>
      </w:r>
    </w:p>
    <w:p>
      <w:r>
        <w:t xml:space="preserve">  positive gap reported here may be the model rather than the prompt, and the</w:t>
      </w:r>
    </w:p>
    <w:p>
      <w:r>
        <w:t xml:space="preserve">  two cannot be separated with available data.</w:t>
      </w:r>
    </w:p>
    <w:p>
      <w:pPr>
        <w:pStyle w:val="ListBullet"/>
      </w:pPr>
      <w:r>
        <w:t>The corpus over-represents failures by construction (carried over from the</w:t>
      </w:r>
    </w:p>
    <w:p>
      <w:r>
        <w:t xml:space="preserve">  legacy framing; unchanged by this run).</w:t>
      </w:r>
    </w:p>
    <w:p>
      <w:pPr>
        <w:pStyle w:val="ListBullet"/>
      </w:pPr>
      <w:r>
        <w:t>Sector-relative grading (F2) unresolved; everything benchmarked against the</w:t>
      </w:r>
    </w:p>
    <w:p>
      <w:r>
        <w:t xml:space="preserve">  broad market (SPY).</w:t>
      </w:r>
    </w:p>
    <w:p>
      <w:pPr>
        <w:pStyle w:val="ListBullet"/>
      </w:pPr>
      <w:r>
        <w:t>**The tune interval excluding zero is on its own, standalone 51-company</w:t>
      </w:r>
    </w:p>
    <w:p>
      <w:r>
        <w:t xml:space="preserve">  population** — it has not been checked against train under any joint/pooled</w:t>
      </w:r>
    </w:p>
    <w:p>
      <w:r>
        <w:t xml:space="preserve">  test, and should not be read as a promotion-grade result on its own.</w:t>
      </w:r>
    </w:p>
    <w:p>
      <w:pPr>
        <w:pStyle w:val="Heading2"/>
      </w:pPr>
      <w:r>
        <w:t>Follow-up commands</w:t>
      </w:r>
    </w:p>
    <w:p>
      <w:r>
        <w:t>Regenerate the tune eval cache from committed scores (gitignored, not</w:t>
      </w:r>
    </w:p>
    <w:p>
      <w:r>
        <w:t>committed):</w:t>
      </w:r>
    </w:p>
    <w:p>
      <w:r>
        <w:rPr>
          <w:rFonts w:ascii="Courier New" w:hAnsi="Courier New"/>
          <w:sz w:val="18"/>
        </w:rPr>
        <w:t>cd analysis</w:t>
        <w:br/>
        <w:t>python3 baseline_v6_tune_batch_driver.py writescores</w:t>
      </w:r>
    </w:p>
    <w:p>
      <w:r>
        <w:t>Re-grade at the full 53-ticker (WOLF+SPWR included, guard will fail as</w:t>
      </w:r>
    </w:p>
    <w:p>
      <w:r>
        <w:t>documented):</w:t>
      </w:r>
    </w:p>
    <w:p>
      <w:r>
        <w:rPr>
          <w:rFonts w:ascii="Courier New" w:hAnsi="Courier New"/>
          <w:sz w:val="18"/>
        </w:rPr>
        <w:t>cd analysis</w:t>
        <w:br/>
        <w:t>python3 analyst_direct_scorer.py --eval-dir data/evals/v6_claude-sonnet-4-6_tune \</w:t>
        <w:br/>
        <w:t xml:space="preserve">    --price-cache data/corpus_v2/scorer_price_cache_v1.json</w:t>
      </w:r>
    </w:p>
    <w:p>
      <w:r>
        <w:t>Re-grade restricted to the 51 currently-gradable tickers explicitly (same</w:t>
      </w:r>
    </w:p>
    <w:p>
      <w:r>
        <w:t>result as this report, for clarity in a future diff):</w:t>
      </w:r>
    </w:p>
    <w:p>
      <w:r>
        <w:rPr>
          <w:rFonts w:ascii="Courier New" w:hAnsi="Courier New"/>
          <w:sz w:val="18"/>
        </w:rPr>
        <w:t>cd analysis</w:t>
        <w:br/>
        <w:t>python3 analyst_direct_scorer.py --eval-dir data/evals/v6_claude-sonnet-4-6_tune \</w:t>
        <w:br/>
        <w:t xml:space="preserve">    --price-cache data/corpus_v2/scorer_price_cache_v1.json \</w:t>
        <w:br/>
        <w:t xml:space="preserve">    --tickers ACN ARRY BAC BLDP CI CL CRM DHR DIS ENVX EOG ETN EXC FCX GIS GOOG \</w:t>
        <w:br/>
        <w:t xml:space="preserve">    GS HRL KHC KO LMT LRCX MCD MCHP MO MPWR NEE NFLX ORCL PFE PLD PM PNC PPG PSA \</w:t>
        <w:br/>
        <w:t xml:space="preserve">    PYPL RTX SBUX SEDG SLB SNOW SRE SWKS T TSLA VLO VZ WDAY WEC WFC ZTS</w:t>
      </w:r>
    </w:p>
    <w:p>
      <w:r>
        <w:t>Check batch status/results again if ever needed (results retrievable 29 days</w:t>
      </w:r>
    </w:p>
    <w:p>
      <w:r>
        <w:t>from submission, i.e. through 2026-10-14):</w:t>
      </w:r>
    </w:p>
    <w:p>
      <w:r>
        <w:rPr>
          <w:rFonts w:ascii="Courier New" w:hAnsi="Courier New"/>
          <w:sz w:val="18"/>
        </w:rPr>
        <w:t>cd analysis</w:t>
        <w:br/>
        <w:t>python3 baseline_v6_tune_batch_driver.py poll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