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Q2 — does the analyst already know which of its bearish calls are the good ones?</w:t>
      </w:r>
    </w:p>
    <w:p>
      <w:pPr>
        <w:spacing w:after="120"/>
      </w:pPr>
      <w:r>
        <w:rPr>
          <w:b w:val="false"/>
          <w:bCs w:val="false"/>
          <w:i/>
          <w:iCs/>
        </w:rPr>
        <w:t xml:space="preserve">Prompt: prompts/q2-bearish-strength-separation.md</w:t>
      </w:r>
    </w:p>
    <w:p>
      <w:pPr>
        <w:spacing w:after="120"/>
      </w:pPr>
      <w:r>
        <w:rPr>
          <w:b w:val="false"/>
          <w:bCs w:val="false"/>
          <w:i/>
          <w:iCs/>
        </w:rPr>
        <w:t xml:space="preserve">Run: q2-bearish-strength-separation — complete, both splits, all steps done.</w:t>
      </w:r>
    </w:p>
    <w:p>
      <w:pPr>
        <w:spacing w:after="120"/>
      </w:pPr>
      <w:r>
        <w:rPr>
          <w:b w:val="false"/>
          <w:bCs w:val="false"/>
          <w:i/>
          <w:iCs/>
        </w:rPr>
        <w:t xml:space="preserve">Cost: $0. No LLM calls, no Anthropic API spend, no DB writes. Read-only analysis of two already-scored eval caches and the frozen price cache.</w:t>
      </w:r>
    </w:p>
    <w:p>
      <w:pPr>
        <w:spacing w:after="120"/>
      </w:pPr>
      <w:r>
        <w:rPr>
          <w:b w:val="false"/>
          <w:bCs w:val="false"/>
          <w:i/>
          <w:iCs/>
        </w:rPr>
        <w:t xml:space="preserve">Scope boundary honored: this is a report, not a decision. It does not run P1, does not reorder the candidate queue, and does not amend PROMPT_ARCHITECTURE.md.</w:t>
      </w:r>
    </w:p>
    <w:p>
      <w:pPr>
        <w:pStyle w:val="Heading1"/>
        <w:spacing w:after="120" w:before="240"/>
      </w:pPr>
      <w:r>
        <w:t xml:space="preserve">§0 — Defined terms</w:t>
      </w:r>
    </w:p>
    <w:p>
      <w:pPr>
        <w:spacing w:after="120"/>
      </w:pPr>
      <w:r>
        <w:rPr>
          <w:b w:val="false"/>
          <w:bCs w:val="false"/>
          <w:i w:val="false"/>
          <w:iCs w:val="false"/>
        </w:rPr>
        <w:t xml:space="preserve">Read this before anything else. Several of these read as their own opposite.</w:t>
      </w:r>
    </w:p>
    <w:p>
      <w:pPr>
        <w:pStyle w:val="ListParagraph"/>
        <w:numPr>
          <w:ilvl w:val="0"/>
          <w:numId w:val="1"/>
        </w:numPr>
        <w:spacing w:after="100"/>
      </w:pPr>
      <w:r>
        <w:rPr>
          <w:b/>
          <w:bCs/>
        </w:rPr>
        <w:t xml:space="preserve">Bearish call. </w:t>
      </w:r>
      <w:r>
        <w:t xml:space="preserve">A call where the analyst's structured output says "Trim" or "Exit" (or, if that field is missing, "weakening"/"broken" thesis health). Out of every ~13 calls it scores, it says this about 1.</w:t>
      </w:r>
    </w:p>
    <w:p>
      <w:pPr>
        <w:pStyle w:val="ListParagraph"/>
        <w:numPr>
          <w:ilvl w:val="0"/>
          <w:numId w:val="1"/>
        </w:numPr>
        <w:spacing w:after="100"/>
      </w:pPr>
      <w:r>
        <w:rPr>
          <w:b/>
          <w:bCs/>
        </w:rPr>
        <w:t xml:space="preserve">Base rate (for bearish). </w:t>
      </w:r>
      <w:r>
        <w:t xml:space="preserve">How often the stock genuinely underperformed its benchmark by more than 5 points over the next two quarters — across all calls, regardless of what the analyst said. On train that's 44.9% of calls; on tune, 48.4%.</w:t>
      </w:r>
    </w:p>
    <w:p>
      <w:pPr>
        <w:pStyle w:val="ListParagraph"/>
        <w:numPr>
          <w:ilvl w:val="0"/>
          <w:numId w:val="1"/>
        </w:numPr>
        <w:spacing w:after="100"/>
      </w:pPr>
      <w:r>
        <w:rPr>
          <w:b/>
          <w:bCs/>
        </w:rPr>
        <w:t xml:space="preserve">Hit. </w:t>
      </w:r>
      <w:r>
        <w:t xml:space="preserve">The analyst's call matched what actually happened. A bearish call is a hit if the stock underperformed by more than 5 points over the next ~6 months.</w:t>
      </w:r>
    </w:p>
    <w:p>
      <w:pPr>
        <w:pStyle w:val="ListParagraph"/>
        <w:numPr>
          <w:ilvl w:val="0"/>
          <w:numId w:val="1"/>
        </w:numPr>
        <w:spacing w:after="100"/>
      </w:pPr>
      <w:r>
        <w:rPr>
          <w:b/>
          <w:bCs/>
        </w:rPr>
        <w:t xml:space="preserve">Dead band. </w:t>
      </w:r>
      <w:r>
        <w:t xml:space="preserve">Moves within ±5 points of the benchmark count as neither a hit for bullish nor for bearish — graded as if the analyst should have said "hold."</w:t>
      </w:r>
    </w:p>
    <w:p>
      <w:pPr>
        <w:pStyle w:val="ListParagraph"/>
        <w:numPr>
          <w:ilvl w:val="0"/>
          <w:numId w:val="1"/>
        </w:numPr>
        <w:spacing w:after="100"/>
      </w:pPr>
      <w:r>
        <w:rPr>
          <w:b/>
          <w:bCs/>
        </w:rPr>
        <w:t xml:space="preserve">Benchmark-relative 2-quarter return. </w:t>
      </w:r>
      <w:r>
        <w:t xml:space="preserve">The stock's return minus the S&amp;P 500's return, from the call date to about 6 months later.</w:t>
      </w:r>
    </w:p>
    <w:p>
      <w:pPr>
        <w:pStyle w:val="ListParagraph"/>
        <w:numPr>
          <w:ilvl w:val="0"/>
          <w:numId w:val="1"/>
        </w:numPr>
        <w:spacing w:after="100"/>
      </w:pPr>
      <w:r>
        <w:rPr>
          <w:b/>
          <w:bCs/>
        </w:rPr>
        <w:t xml:space="preserve">Precision. </w:t>
      </w:r>
      <w:r>
        <w:t xml:space="preserve">Of the times the analyst said "bearish," what share turned out right. Different from coverage.</w:t>
      </w:r>
    </w:p>
    <w:p>
      <w:pPr>
        <w:pStyle w:val="ListParagraph"/>
        <w:numPr>
          <w:ilvl w:val="0"/>
          <w:numId w:val="1"/>
        </w:numPr>
        <w:spacing w:after="100"/>
      </w:pPr>
      <w:r>
        <w:rPr>
          <w:b/>
          <w:bCs/>
        </w:rPr>
        <w:t xml:space="preserve">Coverage. </w:t>
      </w:r>
      <w:r>
        <w:t xml:space="preserve">How often the analyst is willing to make a bearish call, out of everything it could grade. Right now: about 1 in 13.</w:t>
      </w:r>
    </w:p>
    <w:p>
      <w:pPr>
        <w:pStyle w:val="ListParagraph"/>
        <w:numPr>
          <w:ilvl w:val="0"/>
          <w:numId w:val="1"/>
        </w:numPr>
        <w:spacing w:after="100"/>
      </w:pPr>
      <w:r>
        <w:rPr>
          <w:b/>
          <w:bCs/>
        </w:rPr>
        <w:t xml:space="preserve">Strength axis. </w:t>
      </w:r>
      <w:r>
        <w:t xml:space="preserve">A field in the analyst's own structured output that might separate its better bearish calls from its worse ones.</w:t>
      </w:r>
    </w:p>
    <w:p>
      <w:pPr>
        <w:pStyle w:val="Heading1"/>
        <w:spacing w:after="120" w:before="240"/>
      </w:pPr>
      <w:r>
        <w:t xml:space="preserve">Headline</w:t>
      </w:r>
    </w:p>
    <w:p>
      <w:pPr>
        <w:spacing w:after="120"/>
      </w:pPr>
      <w:r>
        <w:rPr>
          <w:b w:val="false"/>
          <w:bCs w:val="false"/>
          <w:i w:val="false"/>
          <w:iCs w:val="false"/>
        </w:rPr>
        <w:t xml:space="preserve">Of v6's 187 bearish calls across train and tune, 112 were right (59.9%) against a base rate of 46.6%. Splitting them by management-credibility direction (worsening vs. not) separates the right calls from the wrong ones by 10.3 points on train; on tune that separation held, at 12.9 points. Of the eight axes tested, one (that same credibility split) separated on both splits, and one was excluded outright for missing too much data; five did not separate — three of them because the ordering flipped between train and tune, and two because the analyst almost never uses one side of the split (Exit as distinct from Trim; "Broken" as distinct from "Weakening").</w:t>
      </w:r>
    </w:p>
    <w:p>
      <w:pPr>
        <w:spacing w:after="120"/>
      </w:pPr>
      <w:r>
        <w:rPr>
          <w:b w:val="false"/>
          <w:bCs w:val="false"/>
          <w:i w:val="false"/>
          <w:iCs w:val="false"/>
        </w:rPr>
        <w:t xml:space="preserve">What this means in plain terms: the analyst's bearish calls are, right now, close to one undifferentiated signal. It has one field — whether it thinks management is losing credibility — that points the right direction on both halves of the data, but the gap it draws is modest (10–13 points) and sits inside overlapping error bars. Every other field tested either flipped direction between train and tune, or wasn't used often enough to test at all.</w:t>
      </w:r>
    </w:p>
    <w:p>
      <w:pPr>
        <w:pStyle w:val="Heading1"/>
        <w:spacing w:after="120" w:before="240"/>
      </w:pPr>
      <w:r>
        <w:t xml:space="preserve">Coverage report (§5a hard stop)</w:t>
      </w:r>
    </w:p>
    <w:p>
      <w:pPr>
        <w:spacing w:after="120"/>
      </w:pPr>
      <w:r>
        <w:rPr>
          <w:b w:val="false"/>
          <w:bCs w:val="false"/>
          <w:i w:val="false"/>
          <w:iCs w:val="false"/>
        </w:rPr>
        <w:t xml:space="preserve">Every bearish call across both eval caches parsed a structured block except one file. Of the 200 pooled bearish calls, every field used by an axis is present in every call except one: ratchetTranche, missing on 26.0% (52/200). Per the prompt's hard stop, that field is excluded as an axis rather than treated as its own "null" category.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000"/>
      </w:tblGrid>
      <w:tr>
        <w:tc>
          <w:tcPr>
            <w:tcW w:type="dxa" w:w="3400"/>
            <w:shd w:fill="2F5496" w:val="clear"/>
          </w:tcPr>
          <w:p>
            <w:r>
              <w:rPr>
                <w:b/>
                <w:bCs/>
                <w:color w:val="FFFFFF"/>
                <w:sz w:val="18"/>
                <w:szCs w:val="18"/>
              </w:rPr>
              <w:t xml:space="preserve">Field</w:t>
            </w:r>
          </w:p>
        </w:tc>
        <w:tc>
          <w:tcPr>
            <w:tcW w:type="dxa" w:w="2600"/>
            <w:shd w:fill="2F5496" w:val="clear"/>
          </w:tcPr>
          <w:p>
            <w:r>
              <w:rPr>
                <w:b/>
                <w:bCs/>
                <w:color w:val="FFFFFF"/>
                <w:sz w:val="18"/>
                <w:szCs w:val="18"/>
              </w:rPr>
              <w:t xml:space="preserve">% null on bearish calls</w:t>
            </w:r>
          </w:p>
        </w:tc>
        <w:tc>
          <w:tcPr>
            <w:tcW w:type="dxa" w:w="3000"/>
            <w:shd w:fill="2F5496" w:val="clear"/>
          </w:tcPr>
          <w:p>
            <w:r>
              <w:rPr>
                <w:b/>
                <w:bCs/>
                <w:color w:val="FFFFFF"/>
                <w:sz w:val="18"/>
                <w:szCs w:val="18"/>
              </w:rPr>
              <w:t xml:space="preserve">Used as an axis?</w:t>
            </w:r>
          </w:p>
        </w:tc>
      </w:tr>
      <w:tr>
        <w:tc>
          <w:tcPr>
            <w:tcW w:type="dxa" w:w="3400"/>
          </w:tcPr>
          <w:p>
            <w:r>
              <w:rPr>
                <w:b w:val="false"/>
                <w:bCs w:val="false"/>
                <w:sz w:val="18"/>
                <w:szCs w:val="18"/>
              </w:rPr>
              <w:t xml:space="preserve">recommendation</w:t>
            </w:r>
          </w:p>
        </w:tc>
        <w:tc>
          <w:tcPr>
            <w:tcW w:type="dxa" w:w="2600"/>
          </w:tcPr>
          <w:p>
            <w:r>
              <w:rPr>
                <w:b w:val="false"/>
                <w:bCs w:val="false"/>
                <w:sz w:val="18"/>
                <w:szCs w:val="18"/>
              </w:rPr>
              <w:t xml:space="preserve">0.0%</w:t>
            </w:r>
          </w:p>
        </w:tc>
        <w:tc>
          <w:tcPr>
            <w:tcW w:type="dxa" w:w="3000"/>
          </w:tcPr>
          <w:p>
            <w:r>
              <w:rPr>
                <w:b w:val="false"/>
                <w:bCs w:val="false"/>
                <w:sz w:val="18"/>
                <w:szCs w:val="18"/>
              </w:rPr>
              <w:t xml:space="preserve">yes (A1)</w:t>
            </w:r>
          </w:p>
        </w:tc>
      </w:tr>
      <w:tr>
        <w:tc>
          <w:tcPr>
            <w:tcW w:type="dxa" w:w="3400"/>
          </w:tcPr>
          <w:p>
            <w:r>
              <w:rPr>
                <w:b w:val="false"/>
                <w:bCs w:val="false"/>
                <w:sz w:val="18"/>
                <w:szCs w:val="18"/>
              </w:rPr>
              <w:t xml:space="preserve">thesisHealth</w:t>
            </w:r>
          </w:p>
        </w:tc>
        <w:tc>
          <w:tcPr>
            <w:tcW w:type="dxa" w:w="2600"/>
          </w:tcPr>
          <w:p>
            <w:r>
              <w:rPr>
                <w:b w:val="false"/>
                <w:bCs w:val="false"/>
                <w:sz w:val="18"/>
                <w:szCs w:val="18"/>
              </w:rPr>
              <w:t xml:space="preserve">0.0%</w:t>
            </w:r>
          </w:p>
        </w:tc>
        <w:tc>
          <w:tcPr>
            <w:tcW w:type="dxa" w:w="3000"/>
          </w:tcPr>
          <w:p>
            <w:r>
              <w:rPr>
                <w:b w:val="false"/>
                <w:bCs w:val="false"/>
                <w:sz w:val="18"/>
                <w:szCs w:val="18"/>
              </w:rPr>
              <w:t xml:space="preserve">yes (A2)</w:t>
            </w:r>
          </w:p>
        </w:tc>
      </w:tr>
      <w:tr>
        <w:tc>
          <w:tcPr>
            <w:tcW w:type="dxa" w:w="3400"/>
          </w:tcPr>
          <w:p>
            <w:r>
              <w:rPr>
                <w:b w:val="false"/>
                <w:bCs w:val="false"/>
                <w:sz w:val="18"/>
                <w:szCs w:val="18"/>
              </w:rPr>
              <w:t xml:space="preserve">blindSpotsTriggered</w:t>
            </w:r>
          </w:p>
        </w:tc>
        <w:tc>
          <w:tcPr>
            <w:tcW w:type="dxa" w:w="2600"/>
          </w:tcPr>
          <w:p>
            <w:r>
              <w:rPr>
                <w:b w:val="false"/>
                <w:bCs w:val="false"/>
                <w:sz w:val="18"/>
                <w:szCs w:val="18"/>
              </w:rPr>
              <w:t xml:space="preserve">0.0%</w:t>
            </w:r>
          </w:p>
        </w:tc>
        <w:tc>
          <w:tcPr>
            <w:tcW w:type="dxa" w:w="3000"/>
          </w:tcPr>
          <w:p>
            <w:r>
              <w:rPr>
                <w:b w:val="false"/>
                <w:bCs w:val="false"/>
                <w:sz w:val="18"/>
                <w:szCs w:val="18"/>
              </w:rPr>
              <w:t xml:space="preserve">yes (A3)</w:t>
            </w:r>
          </w:p>
        </w:tc>
      </w:tr>
      <w:tr>
        <w:tc>
          <w:tcPr>
            <w:tcW w:type="dxa" w:w="3400"/>
          </w:tcPr>
          <w:p>
            <w:r>
              <w:rPr>
                <w:b w:val="false"/>
                <w:bCs w:val="false"/>
                <w:sz w:val="18"/>
                <w:szCs w:val="18"/>
              </w:rPr>
              <w:t xml:space="preserve">stumbleType</w:t>
            </w:r>
          </w:p>
        </w:tc>
        <w:tc>
          <w:tcPr>
            <w:tcW w:type="dxa" w:w="2600"/>
          </w:tcPr>
          <w:p>
            <w:r>
              <w:rPr>
                <w:b w:val="false"/>
                <w:bCs w:val="false"/>
                <w:sz w:val="18"/>
                <w:szCs w:val="18"/>
              </w:rPr>
              <w:t xml:space="preserve">0.0%</w:t>
            </w:r>
          </w:p>
        </w:tc>
        <w:tc>
          <w:tcPr>
            <w:tcW w:type="dxa" w:w="3000"/>
          </w:tcPr>
          <w:p>
            <w:r>
              <w:rPr>
                <w:b w:val="false"/>
                <w:bCs w:val="false"/>
                <w:sz w:val="18"/>
                <w:szCs w:val="18"/>
              </w:rPr>
              <w:t xml:space="preserve">yes (A4)</w:t>
            </w:r>
          </w:p>
        </w:tc>
      </w:tr>
      <w:tr>
        <w:tc>
          <w:tcPr>
            <w:tcW w:type="dxa" w:w="3400"/>
          </w:tcPr>
          <w:p>
            <w:r>
              <w:rPr>
                <w:b w:val="false"/>
                <w:bCs w:val="false"/>
                <w:sz w:val="18"/>
                <w:szCs w:val="18"/>
              </w:rPr>
              <w:t xml:space="preserve">ratchetTranche</w:t>
            </w:r>
          </w:p>
        </w:tc>
        <w:tc>
          <w:tcPr>
            <w:tcW w:type="dxa" w:w="2600"/>
          </w:tcPr>
          <w:p>
            <w:r>
              <w:rPr>
                <w:b w:val="false"/>
                <w:bCs w:val="false"/>
                <w:sz w:val="18"/>
                <w:szCs w:val="18"/>
              </w:rPr>
              <w:t xml:space="preserve">26.0%</w:t>
            </w:r>
          </w:p>
        </w:tc>
        <w:tc>
          <w:tcPr>
            <w:tcW w:type="dxa" w:w="3000"/>
          </w:tcPr>
          <w:p>
            <w:r>
              <w:rPr>
                <w:b w:val="false"/>
                <w:bCs w:val="false"/>
                <w:sz w:val="18"/>
                <w:szCs w:val="18"/>
              </w:rPr>
              <w:t xml:space="preserve">no — excluded, exceeds 5% threshold</w:t>
            </w:r>
          </w:p>
        </w:tc>
      </w:tr>
      <w:tr>
        <w:tc>
          <w:tcPr>
            <w:tcW w:type="dxa" w:w="3400"/>
          </w:tcPr>
          <w:p>
            <w:r>
              <w:rPr>
                <w:b w:val="false"/>
                <w:bCs w:val="false"/>
                <w:sz w:val="18"/>
                <w:szCs w:val="18"/>
              </w:rPr>
              <w:t xml:space="preserve">credibilityDelta</w:t>
            </w:r>
          </w:p>
        </w:tc>
        <w:tc>
          <w:tcPr>
            <w:tcW w:type="dxa" w:w="2600"/>
          </w:tcPr>
          <w:p>
            <w:r>
              <w:rPr>
                <w:b w:val="false"/>
                <w:bCs w:val="false"/>
                <w:sz w:val="18"/>
                <w:szCs w:val="18"/>
              </w:rPr>
              <w:t xml:space="preserve">0.0%</w:t>
            </w:r>
          </w:p>
        </w:tc>
        <w:tc>
          <w:tcPr>
            <w:tcW w:type="dxa" w:w="3000"/>
          </w:tcPr>
          <w:p>
            <w:r>
              <w:rPr>
                <w:b w:val="false"/>
                <w:bCs w:val="false"/>
                <w:sz w:val="18"/>
                <w:szCs w:val="18"/>
              </w:rPr>
              <w:t xml:space="preserve">yes (A6)</w:t>
            </w:r>
          </w:p>
        </w:tc>
      </w:tr>
      <w:tr>
        <w:tc>
          <w:tcPr>
            <w:tcW w:type="dxa" w:w="3400"/>
          </w:tcPr>
          <w:p>
            <w:r>
              <w:rPr>
                <w:b w:val="false"/>
                <w:bCs w:val="false"/>
                <w:sz w:val="18"/>
                <w:szCs w:val="18"/>
              </w:rPr>
              <w:t xml:space="preserve">threatMechanismImpaired</w:t>
            </w:r>
          </w:p>
        </w:tc>
        <w:tc>
          <w:tcPr>
            <w:tcW w:type="dxa" w:w="2600"/>
          </w:tcPr>
          <w:p>
            <w:r>
              <w:rPr>
                <w:b w:val="false"/>
                <w:bCs w:val="false"/>
                <w:sz w:val="18"/>
                <w:szCs w:val="18"/>
              </w:rPr>
              <w:t xml:space="preserve">0.0%</w:t>
            </w:r>
          </w:p>
        </w:tc>
        <w:tc>
          <w:tcPr>
            <w:tcW w:type="dxa" w:w="3000"/>
          </w:tcPr>
          <w:p>
            <w:r>
              <w:rPr>
                <w:b w:val="false"/>
                <w:bCs w:val="false"/>
                <w:sz w:val="18"/>
                <w:szCs w:val="18"/>
              </w:rPr>
              <w:t xml:space="preserve">yes (A7)</w:t>
            </w:r>
          </w:p>
        </w:tc>
      </w:tr>
      <w:tr>
        <w:tc>
          <w:tcPr>
            <w:tcW w:type="dxa" w:w="3400"/>
          </w:tcPr>
          <w:p>
            <w:r>
              <w:rPr>
                <w:b w:val="false"/>
                <w:bCs w:val="false"/>
                <w:sz w:val="18"/>
                <w:szCs w:val="18"/>
              </w:rPr>
              <w:t xml:space="preserve">recommendedSize / capPercent</w:t>
            </w:r>
          </w:p>
        </w:tc>
        <w:tc>
          <w:tcPr>
            <w:tcW w:type="dxa" w:w="2600"/>
          </w:tcPr>
          <w:p>
            <w:r>
              <w:rPr>
                <w:b w:val="false"/>
                <w:bCs w:val="false"/>
                <w:sz w:val="18"/>
                <w:szCs w:val="18"/>
              </w:rPr>
              <w:t xml:space="preserve">0.0%</w:t>
            </w:r>
          </w:p>
        </w:tc>
        <w:tc>
          <w:tcPr>
            <w:tcW w:type="dxa" w:w="3000"/>
          </w:tcPr>
          <w:p>
            <w:r>
              <w:rPr>
                <w:b w:val="false"/>
                <w:bCs w:val="false"/>
                <w:sz w:val="18"/>
                <w:szCs w:val="18"/>
              </w:rPr>
              <w:t xml:space="preserve">yes (A8)</w:t>
            </w:r>
          </w:p>
        </w:tc>
      </w:tr>
    </w:tbl>
    <w:p>
      <w:pPr>
        <w:spacing w:after="120"/>
      </w:pPr>
      <w:r>
        <w:rPr>
          <w:b w:val="false"/>
          <w:bCs w:val="false"/>
          <w:i/>
          <w:iCs/>
        </w:rPr>
        <w:t xml:space="preserve">Source: analysis/data/run_state/q2-bearish-strength-separation/joined_calls.csv (200 rows, predicted == "bearish").</w:t>
      </w:r>
    </w:p>
    <w:p>
      <w:pPr>
        <w:pStyle w:val="Heading1"/>
        <w:spacing w:after="120" w:before="240"/>
      </w:pPr>
      <w:r>
        <w:t xml:space="preserve">§5b — bearish denominators, verified against the reference figures</w:t>
      </w:r>
    </w:p>
    <w:p>
      <w:pPr>
        <w:spacing w:after="120"/>
      </w:pPr>
      <w:r>
        <w:rPr>
          <w:b w:val="false"/>
          <w:bCs w:val="false"/>
          <w:i w:val="false"/>
          <w:iCs w:val="false"/>
        </w:rPr>
        <w:t xml:space="preserve">Two flagged premises had to be resolved before the reference figures (train 103/60.2%/44.9%, tune 84/59.5%/48.4%) would reproduce. Full detail in findings.md; summary:</w:t>
      </w:r>
    </w:p>
    <w:p>
      <w:pPr>
        <w:pStyle w:val="ListParagraph"/>
        <w:numPr>
          <w:ilvl w:val="0"/>
          <w:numId w:val="1"/>
        </w:numPr>
        <w:spacing w:after="80"/>
      </w:pPr>
      <w:r>
        <w:t xml:space="preserve">Price cache. The prompt's literal instruction (use analysis/data/price_cache.json as it stands) points at a stale 66-ticker cache from an earlier corpus era that doesn't cover MMM, ABBV, or nearly any of this corpus's 56/54 train/tune tickers. The actual v6 baselines were scored against analysis/data/corpus_v2/scorer_price_cache_v1.json (172 tickers), per the --price-cache flag recorded in wrap-ups/baseline-v6-tune-batch-out.md. Used that cache instead — still frozen, still read-only, zero spend.</w:t>
      </w:r>
    </w:p>
    <w:p>
      <w:pPr>
        <w:pStyle w:val="ListParagraph"/>
        <w:numPr>
          <w:ilvl w:val="0"/>
          <w:numId w:val="1"/>
        </w:numPr>
        <w:spacing w:after="80"/>
      </w:pPr>
      <w:r>
        <w:t xml:space="preserve">WOLF / SPWR must be dropped entirely, not just where price data is missing. 5 of SPWR's 15 calls still have surviving pre-reorg prices; counting those left 97 bearish-predicted calls on tune, not the reference 84. The reference figures require excluding WOLF and SPWR entirely, matching the --tickers allowlist the original baseline runs used. NOVA does not appear in either eval directory at all as of this run; noted, not investigated further.</w:t>
      </w:r>
    </w:p>
    <w:p>
      <w:pPr>
        <w:spacing w:after="120"/>
      </w:pPr>
      <w:r>
        <w:rPr>
          <w:b w:val="false"/>
          <w:bCs w:val="false"/>
          <w:i w:val="false"/>
          <w:iCs w:val="false"/>
        </w:rPr>
        <w:t xml:space="preserve">A third issue was a bug in this run's own first draft, caught before any axis was computed: the initial "base rate" calculation was mathematically identical to precision (a bearish call is a hit exactly when the outcome was bearish), printing 60.2% for both on train and hiding the entire point of the comparison. Fixed to measure the base rate over all scoreable calls, any predicted direction, before producing anything downstream.</w:t>
      </w:r>
    </w:p>
    <w:p>
      <w:pPr>
        <w:spacing w:after="120"/>
      </w:pPr>
      <w:r>
        <w:rPr>
          <w:b w:val="false"/>
          <w:bCs w:val="false"/>
          <w:i w:val="false"/>
          <w:iCs w:val="false"/>
        </w:rPr>
        <w:t xml:space="preserve">With both fixes applied, all three reference figures reproduce exactly: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600"/>
        <w:gridCol w:w="2200"/>
      </w:tblGrid>
      <w:tr>
        <w:tc>
          <w:tcPr>
            <w:tcW w:type="dxa" w:w="3400"/>
            <w:shd w:fill="2F5496" w:val="clear"/>
          </w:tcPr>
          <w:p>
            <w:r>
              <w:rPr>
                <w:b/>
                <w:bCs/>
                <w:color w:val="FFFFFF"/>
                <w:sz w:val="18"/>
                <w:szCs w:val="18"/>
              </w:rPr>
              <w:t xml:space="preserve"/>
            </w:r>
          </w:p>
        </w:tc>
        <w:tc>
          <w:tcPr>
            <w:tcW w:type="dxa" w:w="2200"/>
            <w:shd w:fill="2F5496" w:val="clear"/>
          </w:tcPr>
          <w:p>
            <w:r>
              <w:rPr>
                <w:b/>
                <w:bCs/>
                <w:color w:val="FFFFFF"/>
                <w:sz w:val="18"/>
                <w:szCs w:val="18"/>
              </w:rPr>
              <w:t xml:space="preserve">train</w:t>
            </w:r>
          </w:p>
        </w:tc>
        <w:tc>
          <w:tcPr>
            <w:tcW w:type="dxa" w:w="2600"/>
            <w:shd w:fill="2F5496" w:val="clear"/>
          </w:tcPr>
          <w:p>
            <w:r>
              <w:rPr>
                <w:b/>
                <w:bCs/>
                <w:color w:val="FFFFFF"/>
                <w:sz w:val="18"/>
                <w:szCs w:val="18"/>
              </w:rPr>
              <w:t xml:space="preserve">tune</w:t>
            </w:r>
          </w:p>
        </w:tc>
        <w:tc>
          <w:tcPr>
            <w:tcW w:type="dxa" w:w="2200"/>
            <w:shd w:fill="2F5496" w:val="clear"/>
          </w:tcPr>
          <w:p>
            <w:r>
              <w:rPr>
                <w:b/>
                <w:bCs/>
                <w:color w:val="FFFFFF"/>
                <w:sz w:val="18"/>
                <w:szCs w:val="18"/>
              </w:rPr>
              <w:t xml:space="preserve">pooled</w:t>
            </w:r>
          </w:p>
        </w:tc>
      </w:tr>
      <w:tr>
        <w:tc>
          <w:tcPr>
            <w:tcW w:type="dxa" w:w="3400"/>
          </w:tcPr>
          <w:p>
            <w:r>
              <w:rPr>
                <w:b w:val="false"/>
                <w:bCs w:val="false"/>
                <w:sz w:val="18"/>
                <w:szCs w:val="18"/>
              </w:rPr>
              <w:t xml:space="preserve">Bearish calls made</w:t>
            </w:r>
          </w:p>
        </w:tc>
        <w:tc>
          <w:tcPr>
            <w:tcW w:type="dxa" w:w="2200"/>
          </w:tcPr>
          <w:p>
            <w:r>
              <w:rPr>
                <w:b w:val="false"/>
                <w:bCs w:val="false"/>
                <w:sz w:val="18"/>
                <w:szCs w:val="18"/>
              </w:rPr>
              <w:t xml:space="preserve">103</w:t>
            </w:r>
          </w:p>
        </w:tc>
        <w:tc>
          <w:tcPr>
            <w:tcW w:type="dxa" w:w="2600"/>
          </w:tcPr>
          <w:p>
            <w:r>
              <w:rPr>
                <w:b w:val="false"/>
                <w:bCs w:val="false"/>
                <w:sz w:val="18"/>
                <w:szCs w:val="18"/>
              </w:rPr>
              <w:t xml:space="preserve">84</w:t>
            </w:r>
          </w:p>
        </w:tc>
        <w:tc>
          <w:tcPr>
            <w:tcW w:type="dxa" w:w="2200"/>
          </w:tcPr>
          <w:p>
            <w:r>
              <w:rPr>
                <w:b w:val="false"/>
                <w:bCs w:val="false"/>
                <w:sz w:val="18"/>
                <w:szCs w:val="18"/>
              </w:rPr>
              <w:t xml:space="preserve">187</w:t>
            </w:r>
          </w:p>
        </w:tc>
      </w:tr>
      <w:tr>
        <w:tc>
          <w:tcPr>
            <w:tcW w:type="dxa" w:w="3400"/>
          </w:tcPr>
          <w:p>
            <w:r>
              <w:rPr>
                <w:b w:val="false"/>
                <w:bCs w:val="false"/>
                <w:sz w:val="18"/>
                <w:szCs w:val="18"/>
              </w:rPr>
              <w:t xml:space="preserve">…and right</w:t>
            </w:r>
          </w:p>
        </w:tc>
        <w:tc>
          <w:tcPr>
            <w:tcW w:type="dxa" w:w="2200"/>
          </w:tcPr>
          <w:p>
            <w:r>
              <w:rPr>
                <w:b w:val="false"/>
                <w:bCs w:val="false"/>
                <w:sz w:val="18"/>
                <w:szCs w:val="18"/>
              </w:rPr>
              <w:t xml:space="preserve">62 (60.2%)</w:t>
            </w:r>
          </w:p>
        </w:tc>
        <w:tc>
          <w:tcPr>
            <w:tcW w:type="dxa" w:w="2600"/>
          </w:tcPr>
          <w:p>
            <w:r>
              <w:rPr>
                <w:b w:val="false"/>
                <w:bCs w:val="false"/>
                <w:sz w:val="18"/>
                <w:szCs w:val="18"/>
              </w:rPr>
              <w:t xml:space="preserve">50 (59.5%)</w:t>
            </w:r>
          </w:p>
        </w:tc>
        <w:tc>
          <w:tcPr>
            <w:tcW w:type="dxa" w:w="2200"/>
          </w:tcPr>
          <w:p>
            <w:r>
              <w:rPr>
                <w:b w:val="false"/>
                <w:bCs w:val="false"/>
                <w:sz w:val="18"/>
                <w:szCs w:val="18"/>
              </w:rPr>
              <w:t xml:space="preserve">112 (59.9%)</w:t>
            </w:r>
          </w:p>
        </w:tc>
      </w:tr>
      <w:tr>
        <w:tc>
          <w:tcPr>
            <w:tcW w:type="dxa" w:w="3400"/>
          </w:tcPr>
          <w:p>
            <w:r>
              <w:rPr>
                <w:b w:val="false"/>
                <w:bCs w:val="false"/>
                <w:sz w:val="18"/>
                <w:szCs w:val="18"/>
              </w:rPr>
              <w:t xml:space="preserve">Base rate</w:t>
            </w:r>
          </w:p>
        </w:tc>
        <w:tc>
          <w:tcPr>
            <w:tcW w:type="dxa" w:w="2200"/>
          </w:tcPr>
          <w:p>
            <w:r>
              <w:rPr>
                <w:b w:val="false"/>
                <w:bCs w:val="false"/>
                <w:sz w:val="18"/>
                <w:szCs w:val="18"/>
              </w:rPr>
              <w:t xml:space="preserve">44.9%</w:t>
            </w:r>
          </w:p>
        </w:tc>
        <w:tc>
          <w:tcPr>
            <w:tcW w:type="dxa" w:w="2600"/>
          </w:tcPr>
          <w:p>
            <w:r>
              <w:rPr>
                <w:b w:val="false"/>
                <w:bCs w:val="false"/>
                <w:sz w:val="18"/>
                <w:szCs w:val="18"/>
              </w:rPr>
              <w:t xml:space="preserve">48.4%</w:t>
            </w:r>
          </w:p>
        </w:tc>
        <w:tc>
          <w:tcPr>
            <w:tcW w:type="dxa" w:w="2200"/>
          </w:tcPr>
          <w:p>
            <w:r>
              <w:rPr>
                <w:b w:val="false"/>
                <w:bCs w:val="false"/>
                <w:sz w:val="18"/>
                <w:szCs w:val="18"/>
              </w:rPr>
              <w:t xml:space="preserve">46.6%</w:t>
            </w:r>
          </w:p>
        </w:tc>
      </w:tr>
      <w:tr>
        <w:tc>
          <w:tcPr>
            <w:tcW w:type="dxa" w:w="3400"/>
          </w:tcPr>
          <w:p>
            <w:r>
              <w:rPr>
                <w:b w:val="false"/>
                <w:bCs w:val="false"/>
                <w:sz w:val="18"/>
                <w:szCs w:val="18"/>
              </w:rPr>
              <w:t xml:space="preserve">Calls lost to WOLF/SPWR</w:t>
            </w:r>
          </w:p>
        </w:tc>
        <w:tc>
          <w:tcPr>
            <w:tcW w:type="dxa" w:w="2200"/>
          </w:tcPr>
          <w:p>
            <w:r>
              <w:rPr>
                <w:b w:val="false"/>
                <w:bCs w:val="false"/>
                <w:sz w:val="18"/>
                <w:szCs w:val="18"/>
              </w:rPr>
              <w:t xml:space="preserve">0</w:t>
            </w:r>
          </w:p>
        </w:tc>
        <w:tc>
          <w:tcPr>
            <w:tcW w:type="dxa" w:w="2600"/>
          </w:tcPr>
          <w:p>
            <w:r>
              <w:rPr>
                <w:b w:val="false"/>
                <w:bCs w:val="false"/>
                <w:sz w:val="18"/>
                <w:szCs w:val="18"/>
              </w:rPr>
              <w:t xml:space="preserve">13 (WOLF 9, SPWR 4)</w:t>
            </w:r>
          </w:p>
        </w:tc>
        <w:tc>
          <w:tcPr>
            <w:tcW w:type="dxa" w:w="2200"/>
          </w:tcPr>
          <w:p>
            <w:r>
              <w:rPr>
                <w:b w:val="false"/>
                <w:bCs w:val="false"/>
                <w:sz w:val="18"/>
                <w:szCs w:val="18"/>
              </w:rPr>
              <w:t xml:space="preserve">—</w:t>
            </w:r>
          </w:p>
        </w:tc>
      </w:tr>
    </w:tbl>
    <w:p>
      <w:pPr>
        <w:spacing w:after="120"/>
      </w:pPr>
      <w:r>
        <w:rPr>
          <w:b/>
          <w:bCs/>
          <w:i w:val="false"/>
          <w:iCs w:val="false"/>
        </w:rPr>
        <w:t xml:space="preserve">No discrepancy to report — these match PROMPT_ARCHITECTURE.md §2.1 and wrap-ups/baseline-v6-tune-batch-out.md exactly.</w:t>
      </w:r>
    </w:p>
    <w:p>
      <w:pPr>
        <w:pStyle w:val="Heading1"/>
        <w:spacing w:after="120" w:before="240"/>
      </w:pPr>
      <w:r>
        <w:t xml:space="preserve">§5c — the eight-axis table, both splits</w:t>
      </w:r>
    </w:p>
    <w:p>
      <w:pPr>
        <w:spacing w:after="120"/>
      </w:pPr>
      <w:r>
        <w:rPr>
          <w:b w:val="false"/>
          <w:bCs w:val="false"/>
          <w:i w:val="false"/>
          <w:iCs w:val="false"/>
        </w:rPr>
        <w:t xml:space="preserve">Ranking and one-line predictions were written to findings.md before any contingency table was computed. Train was computed first in every case; tune second, to confirm or refute.</w:t>
      </w:r>
    </w:p>
    <w:tbl>
      <w:tblPr>
        <w:tblW w:type="dxa" w:w="167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200"/>
        <w:gridCol w:w="2200"/>
        <w:gridCol w:w="1400"/>
        <w:gridCol w:w="2200"/>
        <w:gridCol w:w="2200"/>
        <w:gridCol w:w="1400"/>
        <w:gridCol w:w="1800"/>
      </w:tblGrid>
      <w:tr>
        <w:tc>
          <w:tcPr>
            <w:tcW w:type="dxa" w:w="700"/>
            <w:shd w:fill="2F5496" w:val="clear"/>
          </w:tcPr>
          <w:p>
            <w:r>
              <w:rPr>
                <w:b/>
                <w:bCs/>
                <w:color w:val="FFFFFF"/>
                <w:sz w:val="18"/>
                <w:szCs w:val="18"/>
              </w:rPr>
              <w:t xml:space="preserve">#</w:t>
            </w:r>
          </w:p>
        </w:tc>
        <w:tc>
          <w:tcPr>
            <w:tcW w:type="dxa" w:w="2600"/>
            <w:shd w:fill="2F5496" w:val="clear"/>
          </w:tcPr>
          <w:p>
            <w:r>
              <w:rPr>
                <w:b/>
                <w:bCs/>
                <w:color w:val="FFFFFF"/>
                <w:sz w:val="18"/>
                <w:szCs w:val="18"/>
              </w:rPr>
              <w:t xml:space="preserve">Axis</w:t>
            </w:r>
          </w:p>
        </w:tc>
        <w:tc>
          <w:tcPr>
            <w:tcW w:type="dxa" w:w="2200"/>
            <w:shd w:fill="2F5496" w:val="clear"/>
          </w:tcPr>
          <w:p>
            <w:r>
              <w:rPr>
                <w:b/>
                <w:bCs/>
                <w:color w:val="FFFFFF"/>
                <w:sz w:val="18"/>
                <w:szCs w:val="18"/>
              </w:rPr>
              <w:t xml:space="preserve">Train strongest</w:t>
            </w:r>
          </w:p>
        </w:tc>
        <w:tc>
          <w:tcPr>
            <w:tcW w:type="dxa" w:w="2200"/>
            <w:shd w:fill="2F5496" w:val="clear"/>
          </w:tcPr>
          <w:p>
            <w:r>
              <w:rPr>
                <w:b/>
                <w:bCs/>
                <w:color w:val="FFFFFF"/>
                <w:sz w:val="18"/>
                <w:szCs w:val="18"/>
              </w:rPr>
              <w:t xml:space="preserve">Train weakest</w:t>
            </w:r>
          </w:p>
        </w:tc>
        <w:tc>
          <w:tcPr>
            <w:tcW w:type="dxa" w:w="1400"/>
            <w:shd w:fill="2F5496" w:val="clear"/>
          </w:tcPr>
          <w:p>
            <w:r>
              <w:rPr>
                <w:b/>
                <w:bCs/>
                <w:color w:val="FFFFFF"/>
                <w:sz w:val="18"/>
                <w:szCs w:val="18"/>
              </w:rPr>
              <w:t xml:space="preserve">Train spread</w:t>
            </w:r>
          </w:p>
        </w:tc>
        <w:tc>
          <w:tcPr>
            <w:tcW w:type="dxa" w:w="2200"/>
            <w:shd w:fill="2F5496" w:val="clear"/>
          </w:tcPr>
          <w:p>
            <w:r>
              <w:rPr>
                <w:b/>
                <w:bCs/>
                <w:color w:val="FFFFFF"/>
                <w:sz w:val="18"/>
                <w:szCs w:val="18"/>
              </w:rPr>
              <w:t xml:space="preserve">Tune strongest</w:t>
            </w:r>
          </w:p>
        </w:tc>
        <w:tc>
          <w:tcPr>
            <w:tcW w:type="dxa" w:w="2200"/>
            <w:shd w:fill="2F5496" w:val="clear"/>
          </w:tcPr>
          <w:p>
            <w:r>
              <w:rPr>
                <w:b/>
                <w:bCs/>
                <w:color w:val="FFFFFF"/>
                <w:sz w:val="18"/>
                <w:szCs w:val="18"/>
              </w:rPr>
              <w:t xml:space="preserve">Tune weakest</w:t>
            </w:r>
          </w:p>
        </w:tc>
        <w:tc>
          <w:tcPr>
            <w:tcW w:type="dxa" w:w="1400"/>
            <w:shd w:fill="2F5496" w:val="clear"/>
          </w:tcPr>
          <w:p>
            <w:r>
              <w:rPr>
                <w:b/>
                <w:bCs/>
                <w:color w:val="FFFFFF"/>
                <w:sz w:val="18"/>
                <w:szCs w:val="18"/>
              </w:rPr>
              <w:t xml:space="preserve">Tune spread</w:t>
            </w:r>
          </w:p>
        </w:tc>
        <w:tc>
          <w:tcPr>
            <w:tcW w:type="dxa" w:w="1800"/>
            <w:shd w:fill="2F5496" w:val="clear"/>
          </w:tcPr>
          <w:p>
            <w:r>
              <w:rPr>
                <w:b/>
                <w:bCs/>
                <w:color w:val="FFFFFF"/>
                <w:sz w:val="18"/>
                <w:szCs w:val="18"/>
              </w:rPr>
              <w:t xml:space="preserve">Held on tune?</w:t>
            </w:r>
          </w:p>
        </w:tc>
      </w:tr>
      <w:tr>
        <w:tc>
          <w:tcPr>
            <w:tcW w:type="dxa" w:w="700"/>
          </w:tcPr>
          <w:p>
            <w:r>
              <w:rPr>
                <w:b w:val="false"/>
                <w:bCs w:val="false"/>
                <w:sz w:val="18"/>
                <w:szCs w:val="18"/>
              </w:rPr>
              <w:t xml:space="preserve">A1</w:t>
            </w:r>
          </w:p>
        </w:tc>
        <w:tc>
          <w:tcPr>
            <w:tcW w:type="dxa" w:w="2600"/>
          </w:tcPr>
          <w:p>
            <w:r>
              <w:rPr>
                <w:b w:val="false"/>
                <w:bCs w:val="false"/>
                <w:sz w:val="18"/>
                <w:szCs w:val="18"/>
              </w:rPr>
              <w:t xml:space="preserve">recommendation: Exit vs Trim</w:t>
            </w:r>
          </w:p>
        </w:tc>
        <w:tc>
          <w:tcPr>
            <w:tcW w:type="dxa" w:w="2200"/>
          </w:tcPr>
          <w:p>
            <w:r>
              <w:rPr>
                <w:b w:val="false"/>
                <w:bCs w:val="false"/>
                <w:sz w:val="18"/>
                <w:szCs w:val="18"/>
              </w:rPr>
              <w:t xml:space="preserve">Exit 100% (n=1)</w:t>
            </w:r>
          </w:p>
        </w:tc>
        <w:tc>
          <w:tcPr>
            <w:tcW w:type="dxa" w:w="2200"/>
          </w:tcPr>
          <w:p>
            <w:r>
              <w:rPr>
                <w:b w:val="false"/>
                <w:bCs w:val="false"/>
                <w:sz w:val="18"/>
                <w:szCs w:val="18"/>
              </w:rPr>
              <w:t xml:space="preserve">Trim 59.8% (n=102)</w:t>
            </w:r>
          </w:p>
        </w:tc>
        <w:tc>
          <w:tcPr>
            <w:tcW w:type="dxa" w:w="1400"/>
          </w:tcPr>
          <w:p>
            <w:r>
              <w:rPr>
                <w:b w:val="false"/>
                <w:bCs w:val="false"/>
                <w:sz w:val="18"/>
                <w:szCs w:val="18"/>
              </w:rPr>
              <w:t xml:space="preserve">40.2 pts (n=1)</w:t>
            </w:r>
          </w:p>
        </w:tc>
        <w:tc>
          <w:tcPr>
            <w:tcW w:type="dxa" w:w="2200"/>
          </w:tcPr>
          <w:p>
            <w:r>
              <w:rPr>
                <w:b w:val="false"/>
                <w:bCs w:val="false"/>
                <w:sz w:val="18"/>
                <w:szCs w:val="18"/>
              </w:rPr>
              <w:t xml:space="preserve">Trim 59.5% (n=84)</w:t>
            </w:r>
          </w:p>
        </w:tc>
        <w:tc>
          <w:tcPr>
            <w:tcW w:type="dxa" w:w="2200"/>
          </w:tcPr>
          <w:p>
            <w:r>
              <w:rPr>
                <w:b w:val="false"/>
                <w:bCs w:val="false"/>
                <w:sz w:val="18"/>
                <w:szCs w:val="18"/>
              </w:rPr>
              <w:t xml:space="preserve">no Exit calls</w:t>
            </w:r>
          </w:p>
        </w:tc>
        <w:tc>
          <w:tcPr>
            <w:tcW w:type="dxa" w:w="1400"/>
          </w:tcPr>
          <w:p>
            <w:r>
              <w:rPr>
                <w:b w:val="false"/>
                <w:bCs w:val="false"/>
                <w:sz w:val="18"/>
                <w:szCs w:val="18"/>
              </w:rPr>
              <w:t xml:space="preserve">n/a</w:t>
            </w:r>
          </w:p>
        </w:tc>
        <w:tc>
          <w:tcPr>
            <w:tcW w:type="dxa" w:w="1800"/>
          </w:tcPr>
          <w:p>
            <w:r>
              <w:rPr>
                <w:b w:val="false"/>
                <w:bCs w:val="false"/>
                <w:sz w:val="18"/>
                <w:szCs w:val="18"/>
              </w:rPr>
              <w:t xml:space="preserve">no usable 2nd bucket</w:t>
            </w:r>
          </w:p>
        </w:tc>
      </w:tr>
      <w:tr>
        <w:tc>
          <w:tcPr>
            <w:tcW w:type="dxa" w:w="700"/>
          </w:tcPr>
          <w:p>
            <w:r>
              <w:rPr>
                <w:b w:val="false"/>
                <w:bCs w:val="false"/>
                <w:sz w:val="18"/>
                <w:szCs w:val="18"/>
              </w:rPr>
              <w:t xml:space="preserve">A2</w:t>
            </w:r>
          </w:p>
        </w:tc>
        <w:tc>
          <w:tcPr>
            <w:tcW w:type="dxa" w:w="2600"/>
          </w:tcPr>
          <w:p>
            <w:r>
              <w:rPr>
                <w:b w:val="false"/>
                <w:bCs w:val="false"/>
                <w:sz w:val="18"/>
                <w:szCs w:val="18"/>
              </w:rPr>
              <w:t xml:space="preserve">thesisHealth: Broken vs Weakening</w:t>
            </w:r>
          </w:p>
        </w:tc>
        <w:tc>
          <w:tcPr>
            <w:tcW w:type="dxa" w:w="2200"/>
          </w:tcPr>
          <w:p>
            <w:r>
              <w:rPr>
                <w:b w:val="false"/>
                <w:bCs w:val="false"/>
                <w:sz w:val="18"/>
                <w:szCs w:val="18"/>
              </w:rPr>
              <w:t xml:space="preserve">Broken 100% (n=1)</w:t>
            </w:r>
          </w:p>
        </w:tc>
        <w:tc>
          <w:tcPr>
            <w:tcW w:type="dxa" w:w="2200"/>
          </w:tcPr>
          <w:p>
            <w:r>
              <w:rPr>
                <w:b w:val="false"/>
                <w:bCs w:val="false"/>
                <w:sz w:val="18"/>
                <w:szCs w:val="18"/>
              </w:rPr>
              <w:t xml:space="preserve">Weakening 70.9% (n=55)</w:t>
            </w:r>
          </w:p>
        </w:tc>
        <w:tc>
          <w:tcPr>
            <w:tcW w:type="dxa" w:w="1400"/>
          </w:tcPr>
          <w:p>
            <w:r>
              <w:rPr>
                <w:b w:val="false"/>
                <w:bCs w:val="false"/>
                <w:sz w:val="18"/>
                <w:szCs w:val="18"/>
              </w:rPr>
              <w:t xml:space="preserve">29.1 pts (n=1)</w:t>
            </w:r>
          </w:p>
        </w:tc>
        <w:tc>
          <w:tcPr>
            <w:tcW w:type="dxa" w:w="2200"/>
          </w:tcPr>
          <w:p>
            <w:r>
              <w:rPr>
                <w:b w:val="false"/>
                <w:bCs w:val="false"/>
                <w:sz w:val="18"/>
                <w:szCs w:val="18"/>
              </w:rPr>
              <w:t xml:space="preserve">Weakening 58.5% (n=41)</w:t>
            </w:r>
          </w:p>
        </w:tc>
        <w:tc>
          <w:tcPr>
            <w:tcW w:type="dxa" w:w="2200"/>
          </w:tcPr>
          <w:p>
            <w:r>
              <w:rPr>
                <w:b w:val="false"/>
                <w:bCs w:val="false"/>
                <w:sz w:val="18"/>
                <w:szCs w:val="18"/>
              </w:rPr>
              <w:t xml:space="preserve">Broken 0% (n=1)</w:t>
            </w:r>
          </w:p>
        </w:tc>
        <w:tc>
          <w:tcPr>
            <w:tcW w:type="dxa" w:w="1400"/>
          </w:tcPr>
          <w:p>
            <w:r>
              <w:rPr>
                <w:b w:val="false"/>
                <w:bCs w:val="false"/>
                <w:sz w:val="18"/>
                <w:szCs w:val="18"/>
              </w:rPr>
              <w:t xml:space="preserve">58.5 pts (n=1)</w:t>
            </w:r>
          </w:p>
        </w:tc>
        <w:tc>
          <w:tcPr>
            <w:tcW w:type="dxa" w:w="1800"/>
          </w:tcPr>
          <w:p>
            <w:r>
              <w:rPr>
                <w:b w:val="false"/>
                <w:bCs w:val="false"/>
                <w:sz w:val="18"/>
                <w:szCs w:val="18"/>
              </w:rPr>
              <w:t xml:space="preserve">no usable 2nd bucket</w:t>
            </w:r>
          </w:p>
        </w:tc>
      </w:tr>
      <w:tr>
        <w:tc>
          <w:tcPr>
            <w:tcW w:type="dxa" w:w="700"/>
          </w:tcPr>
          <w:p>
            <w:r>
              <w:rPr>
                <w:b w:val="false"/>
                <w:bCs w:val="false"/>
                <w:sz w:val="18"/>
                <w:szCs w:val="18"/>
              </w:rPr>
              <w:t xml:space="preserve">A3</w:t>
            </w:r>
          </w:p>
        </w:tc>
        <w:tc>
          <w:tcPr>
            <w:tcW w:type="dxa" w:w="2600"/>
          </w:tcPr>
          <w:p>
            <w:r>
              <w:rPr>
                <w:b w:val="false"/>
                <w:bCs w:val="false"/>
                <w:sz w:val="18"/>
                <w:szCs w:val="18"/>
              </w:rPr>
              <w:t xml:space="preserve">blindSpotsTriggered count</w:t>
            </w:r>
          </w:p>
        </w:tc>
        <w:tc>
          <w:tcPr>
            <w:tcW w:type="dxa" w:w="2200"/>
          </w:tcPr>
          <w:p>
            <w:r>
              <w:rPr>
                <w:b w:val="false"/>
                <w:bCs w:val="false"/>
                <w:sz w:val="18"/>
                <w:szCs w:val="18"/>
              </w:rPr>
              <w:t xml:space="preserve">2+ 87.5% (n=8)</w:t>
            </w:r>
          </w:p>
        </w:tc>
        <w:tc>
          <w:tcPr>
            <w:tcW w:type="dxa" w:w="2200"/>
          </w:tcPr>
          <w:p>
            <w:r>
              <w:rPr>
                <w:b w:val="false"/>
                <w:bCs w:val="false"/>
                <w:sz w:val="18"/>
                <w:szCs w:val="18"/>
              </w:rPr>
              <w:t xml:space="preserve">0 57.9% (n=95)</w:t>
            </w:r>
          </w:p>
        </w:tc>
        <w:tc>
          <w:tcPr>
            <w:tcW w:type="dxa" w:w="1400"/>
          </w:tcPr>
          <w:p>
            <w:r>
              <w:rPr>
                <w:b w:val="false"/>
                <w:bCs w:val="false"/>
                <w:sz w:val="18"/>
                <w:szCs w:val="18"/>
              </w:rPr>
              <w:t xml:space="preserve">+29.6 pts</w:t>
            </w:r>
          </w:p>
        </w:tc>
        <w:tc>
          <w:tcPr>
            <w:tcW w:type="dxa" w:w="2200"/>
          </w:tcPr>
          <w:p>
            <w:r>
              <w:rPr>
                <w:b w:val="false"/>
                <w:bCs w:val="false"/>
                <w:sz w:val="18"/>
                <w:szCs w:val="18"/>
              </w:rPr>
              <w:t xml:space="preserve">0 60.8% (n=79)</w:t>
            </w:r>
          </w:p>
        </w:tc>
        <w:tc>
          <w:tcPr>
            <w:tcW w:type="dxa" w:w="2200"/>
          </w:tcPr>
          <w:p>
            <w:r>
              <w:rPr>
                <w:b w:val="false"/>
                <w:bCs w:val="false"/>
                <w:sz w:val="18"/>
                <w:szCs w:val="18"/>
              </w:rPr>
              <w:t xml:space="preserve">2+ 40.0% (n=5)</w:t>
            </w:r>
          </w:p>
        </w:tc>
        <w:tc>
          <w:tcPr>
            <w:tcW w:type="dxa" w:w="1400"/>
          </w:tcPr>
          <w:p>
            <w:r>
              <w:rPr>
                <w:b w:val="false"/>
                <w:bCs w:val="false"/>
                <w:sz w:val="18"/>
                <w:szCs w:val="18"/>
              </w:rPr>
              <w:t xml:space="preserve">−20.8 pts</w:t>
            </w:r>
          </w:p>
        </w:tc>
        <w:tc>
          <w:tcPr>
            <w:tcW w:type="dxa" w:w="1800"/>
          </w:tcPr>
          <w:p>
            <w:r>
              <w:rPr>
                <w:b w:val="false"/>
                <w:bCs w:val="false"/>
                <w:sz w:val="18"/>
                <w:szCs w:val="18"/>
              </w:rPr>
              <w:t xml:space="preserve">no — reversed</w:t>
            </w:r>
          </w:p>
        </w:tc>
      </w:tr>
      <w:tr>
        <w:tc>
          <w:tcPr>
            <w:tcW w:type="dxa" w:w="700"/>
          </w:tcPr>
          <w:p>
            <w:r>
              <w:rPr>
                <w:b w:val="false"/>
                <w:bCs w:val="false"/>
                <w:sz w:val="18"/>
                <w:szCs w:val="18"/>
              </w:rPr>
              <w:t xml:space="preserve">A4</w:t>
            </w:r>
          </w:p>
        </w:tc>
        <w:tc>
          <w:tcPr>
            <w:tcW w:type="dxa" w:w="2600"/>
          </w:tcPr>
          <w:p>
            <w:r>
              <w:rPr>
                <w:b w:val="false"/>
                <w:bCs w:val="false"/>
                <w:sz w:val="18"/>
                <w:szCs w:val="18"/>
              </w:rPr>
              <w:t xml:space="preserve">stumbleType</w:t>
            </w:r>
          </w:p>
        </w:tc>
        <w:tc>
          <w:tcPr>
            <w:tcW w:type="dxa" w:w="2200"/>
          </w:tcPr>
          <w:p>
            <w:r>
              <w:rPr>
                <w:b w:val="false"/>
                <w:bCs w:val="false"/>
                <w:sz w:val="18"/>
                <w:szCs w:val="18"/>
              </w:rPr>
              <w:t xml:space="preserve">Structural 71.0% (n=31)</w:t>
            </w:r>
          </w:p>
        </w:tc>
        <w:tc>
          <w:tcPr>
            <w:tcW w:type="dxa" w:w="2200"/>
          </w:tcPr>
          <w:p>
            <w:r>
              <w:rPr>
                <w:b w:val="false"/>
                <w:bCs w:val="false"/>
                <w:sz w:val="18"/>
                <w:szCs w:val="18"/>
              </w:rPr>
              <w:t xml:space="preserve">Discovery 44.4% (n=9)</w:t>
            </w:r>
          </w:p>
        </w:tc>
        <w:tc>
          <w:tcPr>
            <w:tcW w:type="dxa" w:w="1400"/>
          </w:tcPr>
          <w:p>
            <w:r>
              <w:rPr>
                <w:b w:val="false"/>
                <w:bCs w:val="false"/>
                <w:sz w:val="18"/>
                <w:szCs w:val="18"/>
              </w:rPr>
              <w:t xml:space="preserve">+26.6 pts</w:t>
            </w:r>
          </w:p>
        </w:tc>
        <w:tc>
          <w:tcPr>
            <w:tcW w:type="dxa" w:w="2200"/>
          </w:tcPr>
          <w:p>
            <w:r>
              <w:rPr>
                <w:b w:val="false"/>
                <w:bCs w:val="false"/>
                <w:sz w:val="18"/>
                <w:szCs w:val="18"/>
              </w:rPr>
              <w:t xml:space="preserve">Execution 64.2% (n=67)</w:t>
            </w:r>
          </w:p>
        </w:tc>
        <w:tc>
          <w:tcPr>
            <w:tcW w:type="dxa" w:w="2200"/>
          </w:tcPr>
          <w:p>
            <w:r>
              <w:rPr>
                <w:b w:val="false"/>
                <w:bCs w:val="false"/>
                <w:sz w:val="18"/>
                <w:szCs w:val="18"/>
              </w:rPr>
              <w:t xml:space="preserve">Structural 33.3% (n=12)</w:t>
            </w:r>
          </w:p>
        </w:tc>
        <w:tc>
          <w:tcPr>
            <w:tcW w:type="dxa" w:w="1400"/>
          </w:tcPr>
          <w:p>
            <w:r>
              <w:rPr>
                <w:b w:val="false"/>
                <w:bCs w:val="false"/>
                <w:sz w:val="18"/>
                <w:szCs w:val="18"/>
              </w:rPr>
              <w:t xml:space="preserve">now weakest</w:t>
            </w:r>
          </w:p>
        </w:tc>
        <w:tc>
          <w:tcPr>
            <w:tcW w:type="dxa" w:w="1800"/>
          </w:tcPr>
          <w:p>
            <w:r>
              <w:rPr>
                <w:b w:val="false"/>
                <w:bCs w:val="false"/>
                <w:sz w:val="18"/>
                <w:szCs w:val="18"/>
              </w:rPr>
              <w:t xml:space="preserve">no — reversed</w:t>
            </w:r>
          </w:p>
        </w:tc>
      </w:tr>
      <w:tr>
        <w:tc>
          <w:tcPr>
            <w:tcW w:type="dxa" w:w="700"/>
          </w:tcPr>
          <w:p>
            <w:r>
              <w:rPr>
                <w:b w:val="false"/>
                <w:bCs w:val="false"/>
                <w:sz w:val="18"/>
                <w:szCs w:val="18"/>
              </w:rPr>
              <w:t xml:space="preserve">A5</w:t>
            </w:r>
          </w:p>
        </w:tc>
        <w:tc>
          <w:tcPr>
            <w:tcW w:type="dxa" w:w="2600"/>
          </w:tcPr>
          <w:p>
            <w:r>
              <w:rPr>
                <w:b w:val="false"/>
                <w:bCs w:val="false"/>
                <w:sz w:val="18"/>
                <w:szCs w:val="18"/>
              </w:rPr>
              <w:t xml:space="preserve">ratchetTranche</w:t>
            </w:r>
          </w:p>
        </w:tc>
        <w:tc>
          <w:tcPr>
            <w:tcW w:type="dxa" w:w="2200"/>
          </w:tcPr>
          <w:p>
            <w:r>
              <w:rPr>
                <w:b w:val="false"/>
                <w:bCs w:val="false"/>
                <w:sz w:val="18"/>
                <w:szCs w:val="18"/>
              </w:rPr>
              <w:t xml:space="preserve">—</w:t>
            </w:r>
          </w:p>
        </w:tc>
        <w:tc>
          <w:tcPr>
            <w:tcW w:type="dxa" w:w="2200"/>
          </w:tcPr>
          <w:p>
            <w:r>
              <w:rPr>
                <w:b w:val="false"/>
                <w:bCs w:val="false"/>
                <w:sz w:val="18"/>
                <w:szCs w:val="18"/>
              </w:rPr>
              <w:t xml:space="preserve">—</w:t>
            </w:r>
          </w:p>
        </w:tc>
        <w:tc>
          <w:tcPr>
            <w:tcW w:type="dxa" w:w="1400"/>
          </w:tcPr>
          <w:p>
            <w:r>
              <w:rPr>
                <w:b w:val="false"/>
                <w:bCs w:val="false"/>
                <w:sz w:val="18"/>
                <w:szCs w:val="18"/>
              </w:rPr>
              <w:t xml:space="preserve">—</w:t>
            </w:r>
          </w:p>
        </w:tc>
        <w:tc>
          <w:tcPr>
            <w:tcW w:type="dxa" w:w="2200"/>
          </w:tcPr>
          <w:p>
            <w:r>
              <w:rPr>
                <w:b w:val="false"/>
                <w:bCs w:val="false"/>
                <w:sz w:val="18"/>
                <w:szCs w:val="18"/>
              </w:rPr>
              <w:t xml:space="preserve">—</w:t>
            </w:r>
          </w:p>
        </w:tc>
        <w:tc>
          <w:tcPr>
            <w:tcW w:type="dxa" w:w="2200"/>
          </w:tcPr>
          <w:p>
            <w:r>
              <w:rPr>
                <w:b w:val="false"/>
                <w:bCs w:val="false"/>
                <w:sz w:val="18"/>
                <w:szCs w:val="18"/>
              </w:rPr>
              <w:t xml:space="preserve">—</w:t>
            </w:r>
          </w:p>
        </w:tc>
        <w:tc>
          <w:tcPr>
            <w:tcW w:type="dxa" w:w="1400"/>
          </w:tcPr>
          <w:p>
            <w:r>
              <w:rPr>
                <w:b w:val="false"/>
                <w:bCs w:val="false"/>
                <w:sz w:val="18"/>
                <w:szCs w:val="18"/>
              </w:rPr>
              <w:t xml:space="preserve">—</w:t>
            </w:r>
          </w:p>
        </w:tc>
        <w:tc>
          <w:tcPr>
            <w:tcW w:type="dxa" w:w="1800"/>
          </w:tcPr>
          <w:p>
            <w:r>
              <w:rPr>
                <w:b w:val="false"/>
                <w:bCs w:val="false"/>
                <w:sz w:val="18"/>
                <w:szCs w:val="18"/>
              </w:rPr>
              <w:t xml:space="preserve">excluded, 26% missing</w:t>
            </w:r>
          </w:p>
        </w:tc>
      </w:tr>
      <w:tr>
        <w:tc>
          <w:tcPr>
            <w:tcW w:type="dxa" w:w="700"/>
          </w:tcPr>
          <w:p>
            <w:r>
              <w:rPr>
                <w:b w:val="false"/>
                <w:bCs w:val="false"/>
                <w:sz w:val="18"/>
                <w:szCs w:val="18"/>
              </w:rPr>
              <w:t xml:space="preserve">A6</w:t>
            </w:r>
          </w:p>
        </w:tc>
        <w:tc>
          <w:tcPr>
            <w:tcW w:type="dxa" w:w="2600"/>
          </w:tcPr>
          <w:p>
            <w:r>
              <w:rPr>
                <w:b w:val="false"/>
                <w:bCs w:val="false"/>
                <w:sz w:val="18"/>
                <w:szCs w:val="18"/>
              </w:rPr>
              <w:t xml:space="preserve">credibilityDelta: negative vs other</w:t>
            </w:r>
          </w:p>
        </w:tc>
        <w:tc>
          <w:tcPr>
            <w:tcW w:type="dxa" w:w="2200"/>
          </w:tcPr>
          <w:p>
            <w:r>
              <w:rPr>
                <w:b w:val="false"/>
                <w:bCs w:val="false"/>
                <w:sz w:val="18"/>
                <w:szCs w:val="18"/>
              </w:rPr>
              <w:t xml:space="preserve">negative 63.4% (n=71)</w:t>
            </w:r>
          </w:p>
        </w:tc>
        <w:tc>
          <w:tcPr>
            <w:tcW w:type="dxa" w:w="2200"/>
          </w:tcPr>
          <w:p>
            <w:r>
              <w:rPr>
                <w:b w:val="false"/>
                <w:bCs w:val="false"/>
                <w:sz w:val="18"/>
                <w:szCs w:val="18"/>
              </w:rPr>
              <w:t xml:space="preserve">other 53.1% (n=32)</w:t>
            </w:r>
          </w:p>
        </w:tc>
        <w:tc>
          <w:tcPr>
            <w:tcW w:type="dxa" w:w="1400"/>
          </w:tcPr>
          <w:p>
            <w:r>
              <w:rPr>
                <w:b w:val="false"/>
                <w:bCs w:val="false"/>
                <w:sz w:val="18"/>
                <w:szCs w:val="18"/>
              </w:rPr>
              <w:t xml:space="preserve">+10.3 pts</w:t>
            </w:r>
          </w:p>
        </w:tc>
        <w:tc>
          <w:tcPr>
            <w:tcW w:type="dxa" w:w="2200"/>
          </w:tcPr>
          <w:p>
            <w:r>
              <w:rPr>
                <w:b w:val="false"/>
                <w:bCs w:val="false"/>
                <w:sz w:val="18"/>
                <w:szCs w:val="18"/>
              </w:rPr>
              <w:t xml:space="preserve">negative 62.9% (n=62)</w:t>
            </w:r>
          </w:p>
        </w:tc>
        <w:tc>
          <w:tcPr>
            <w:tcW w:type="dxa" w:w="2200"/>
          </w:tcPr>
          <w:p>
            <w:r>
              <w:rPr>
                <w:b w:val="false"/>
                <w:bCs w:val="false"/>
                <w:sz w:val="18"/>
                <w:szCs w:val="18"/>
              </w:rPr>
              <w:t xml:space="preserve">other 50.0% (n=22)</w:t>
            </w:r>
          </w:p>
        </w:tc>
        <w:tc>
          <w:tcPr>
            <w:tcW w:type="dxa" w:w="1400"/>
          </w:tcPr>
          <w:p>
            <w:r>
              <w:rPr>
                <w:b w:val="false"/>
                <w:bCs w:val="false"/>
                <w:sz w:val="18"/>
                <w:szCs w:val="18"/>
              </w:rPr>
              <w:t xml:space="preserve">+12.9 pts</w:t>
            </w:r>
          </w:p>
        </w:tc>
        <w:tc>
          <w:tcPr>
            <w:tcW w:type="dxa" w:w="1800"/>
          </w:tcPr>
          <w:p>
            <w:r>
              <w:rPr>
                <w:b w:val="false"/>
                <w:bCs w:val="false"/>
                <w:sz w:val="18"/>
                <w:szCs w:val="18"/>
              </w:rPr>
              <w:t xml:space="preserve">yes — held</w:t>
            </w:r>
          </w:p>
        </w:tc>
      </w:tr>
      <w:tr>
        <w:tc>
          <w:tcPr>
            <w:tcW w:type="dxa" w:w="700"/>
          </w:tcPr>
          <w:p>
            <w:r>
              <w:rPr>
                <w:b w:val="false"/>
                <w:bCs w:val="false"/>
                <w:sz w:val="18"/>
                <w:szCs w:val="18"/>
              </w:rPr>
              <w:t xml:space="preserve">A7</w:t>
            </w:r>
          </w:p>
        </w:tc>
        <w:tc>
          <w:tcPr>
            <w:tcW w:type="dxa" w:w="2600"/>
          </w:tcPr>
          <w:p>
            <w:r>
              <w:rPr>
                <w:b w:val="false"/>
                <w:bCs w:val="false"/>
                <w:sz w:val="18"/>
                <w:szCs w:val="18"/>
              </w:rPr>
              <w:t xml:space="preserve">threatMechanismImpaired</w:t>
            </w:r>
          </w:p>
        </w:tc>
        <w:tc>
          <w:tcPr>
            <w:tcW w:type="dxa" w:w="2200"/>
          </w:tcPr>
          <w:p>
            <w:r>
              <w:rPr>
                <w:b w:val="false"/>
                <w:bCs w:val="false"/>
                <w:sz w:val="18"/>
                <w:szCs w:val="18"/>
              </w:rPr>
              <w:t xml:space="preserve">true 72.7% (n=55)</w:t>
            </w:r>
          </w:p>
        </w:tc>
        <w:tc>
          <w:tcPr>
            <w:tcW w:type="dxa" w:w="2200"/>
          </w:tcPr>
          <w:p>
            <w:r>
              <w:rPr>
                <w:b w:val="false"/>
                <w:bCs w:val="false"/>
                <w:sz w:val="18"/>
                <w:szCs w:val="18"/>
              </w:rPr>
              <w:t xml:space="preserve">false 45.8% (n=48)</w:t>
            </w:r>
          </w:p>
        </w:tc>
        <w:tc>
          <w:tcPr>
            <w:tcW w:type="dxa" w:w="1400"/>
          </w:tcPr>
          <w:p>
            <w:r>
              <w:rPr>
                <w:b w:val="false"/>
                <w:bCs w:val="false"/>
                <w:sz w:val="18"/>
                <w:szCs w:val="18"/>
              </w:rPr>
              <w:t xml:space="preserve">+26.9 pts</w:t>
            </w:r>
          </w:p>
        </w:tc>
        <w:tc>
          <w:tcPr>
            <w:tcW w:type="dxa" w:w="2200"/>
          </w:tcPr>
          <w:p>
            <w:r>
              <w:rPr>
                <w:b w:val="false"/>
                <w:bCs w:val="false"/>
                <w:sz w:val="18"/>
                <w:szCs w:val="18"/>
              </w:rPr>
              <w:t xml:space="preserve">false 64.8% (n=54)</w:t>
            </w:r>
          </w:p>
        </w:tc>
        <w:tc>
          <w:tcPr>
            <w:tcW w:type="dxa" w:w="2200"/>
          </w:tcPr>
          <w:p>
            <w:r>
              <w:rPr>
                <w:b w:val="false"/>
                <w:bCs w:val="false"/>
                <w:sz w:val="18"/>
                <w:szCs w:val="18"/>
              </w:rPr>
              <w:t xml:space="preserve">true 50.0% (n=30)</w:t>
            </w:r>
          </w:p>
        </w:tc>
        <w:tc>
          <w:tcPr>
            <w:tcW w:type="dxa" w:w="1400"/>
          </w:tcPr>
          <w:p>
            <w:r>
              <w:rPr>
                <w:b w:val="false"/>
                <w:bCs w:val="false"/>
                <w:sz w:val="18"/>
                <w:szCs w:val="18"/>
              </w:rPr>
              <w:t xml:space="preserve">now weaker</w:t>
            </w:r>
          </w:p>
        </w:tc>
        <w:tc>
          <w:tcPr>
            <w:tcW w:type="dxa" w:w="1800"/>
          </w:tcPr>
          <w:p>
            <w:r>
              <w:rPr>
                <w:b w:val="false"/>
                <w:bCs w:val="false"/>
                <w:sz w:val="18"/>
                <w:szCs w:val="18"/>
              </w:rPr>
              <w:t xml:space="preserve">no — reversed</w:t>
            </w:r>
          </w:p>
        </w:tc>
      </w:tr>
      <w:tr>
        <w:tc>
          <w:tcPr>
            <w:tcW w:type="dxa" w:w="700"/>
          </w:tcPr>
          <w:p>
            <w:r>
              <w:rPr>
                <w:b w:val="false"/>
                <w:bCs w:val="false"/>
                <w:sz w:val="18"/>
                <w:szCs w:val="18"/>
              </w:rPr>
              <w:t xml:space="preserve">A8</w:t>
            </w:r>
          </w:p>
        </w:tc>
        <w:tc>
          <w:tcPr>
            <w:tcW w:type="dxa" w:w="2600"/>
          </w:tcPr>
          <w:p>
            <w:r>
              <w:rPr>
                <w:b w:val="false"/>
                <w:bCs w:val="false"/>
                <w:sz w:val="18"/>
                <w:szCs w:val="18"/>
              </w:rPr>
              <w:t xml:space="preserve">recommendedSize/capPercent binned</w:t>
            </w:r>
          </w:p>
        </w:tc>
        <w:tc>
          <w:tcPr>
            <w:tcW w:type="dxa" w:w="2200"/>
          </w:tcPr>
          <w:p>
            <w:r>
              <w:rPr>
                <w:b w:val="false"/>
                <w:bCs w:val="false"/>
                <w:sz w:val="18"/>
                <w:szCs w:val="18"/>
              </w:rPr>
              <w:t xml:space="preserve">&lt;=15% 61.5% (n=96)</w:t>
            </w:r>
          </w:p>
        </w:tc>
        <w:tc>
          <w:tcPr>
            <w:tcW w:type="dxa" w:w="2200"/>
          </w:tcPr>
          <w:p>
            <w:r>
              <w:rPr>
                <w:b w:val="false"/>
                <w:bCs w:val="false"/>
                <w:sz w:val="18"/>
                <w:szCs w:val="18"/>
              </w:rPr>
              <w:t xml:space="preserve">15-30% 42.9% (n=7)</w:t>
            </w:r>
          </w:p>
        </w:tc>
        <w:tc>
          <w:tcPr>
            <w:tcW w:type="dxa" w:w="1400"/>
          </w:tcPr>
          <w:p>
            <w:r>
              <w:rPr>
                <w:b w:val="false"/>
                <w:bCs w:val="false"/>
                <w:sz w:val="18"/>
                <w:szCs w:val="18"/>
              </w:rPr>
              <w:t xml:space="preserve">−18.6 pts</w:t>
            </w:r>
          </w:p>
        </w:tc>
        <w:tc>
          <w:tcPr>
            <w:tcW w:type="dxa" w:w="2200"/>
          </w:tcPr>
          <w:p>
            <w:r>
              <w:rPr>
                <w:b w:val="false"/>
                <w:bCs w:val="false"/>
                <w:sz w:val="18"/>
                <w:szCs w:val="18"/>
              </w:rPr>
              <w:t xml:space="preserve">15-30% 66.7% (n=15)</w:t>
            </w:r>
          </w:p>
        </w:tc>
        <w:tc>
          <w:tcPr>
            <w:tcW w:type="dxa" w:w="2200"/>
          </w:tcPr>
          <w:p>
            <w:r>
              <w:rPr>
                <w:b w:val="false"/>
                <w:bCs w:val="false"/>
                <w:sz w:val="18"/>
                <w:szCs w:val="18"/>
              </w:rPr>
              <w:t xml:space="preserve">&lt;=15% 58.8%, &gt;30% 0% (n=1)</w:t>
            </w:r>
          </w:p>
        </w:tc>
        <w:tc>
          <w:tcPr>
            <w:tcW w:type="dxa" w:w="1400"/>
          </w:tcPr>
          <w:p>
            <w:r>
              <w:rPr>
                <w:b w:val="false"/>
                <w:bCs w:val="false"/>
                <w:sz w:val="18"/>
                <w:szCs w:val="18"/>
              </w:rPr>
              <w:t xml:space="preserve">reversed, thin</w:t>
            </w:r>
          </w:p>
        </w:tc>
        <w:tc>
          <w:tcPr>
            <w:tcW w:type="dxa" w:w="1800"/>
          </w:tcPr>
          <w:p>
            <w:r>
              <w:rPr>
                <w:b w:val="false"/>
                <w:bCs w:val="false"/>
                <w:sz w:val="18"/>
                <w:szCs w:val="18"/>
              </w:rPr>
              <w:t xml:space="preserve">no — reversed, thin</w:t>
            </w:r>
          </w:p>
        </w:tc>
      </w:tr>
    </w:tbl>
    <w:p>
      <w:pPr>
        <w:spacing w:after="120"/>
      </w:pPr>
      <w:r>
        <w:rPr>
          <w:b w:val="false"/>
          <w:bCs w:val="false"/>
          <w:i/>
          <w:iCs/>
        </w:rPr>
        <w:t xml:space="preserve">All 95% ranges (Wilson score interval) and full per-bucket counts are in cells.jsonl. In plain terms: with samples this small (most buckets are 30–100 calls, several are single digits), a "44% to 66%" range means the true rate could plausibly be almost anywhere in that band — several of these apparent splits are well within the range you'd see from coin-flip noise.</w:t>
      </w:r>
    </w:p>
    <w:p>
      <w:pPr>
        <w:pStyle w:val="Heading1"/>
        <w:spacing w:after="120" w:before="240"/>
      </w:pPr>
      <w:r>
        <w:t xml:space="preserve">The axis that separated: A6, credibility direction</w:t>
      </w:r>
    </w:p>
    <w:p>
      <w:pPr>
        <w:spacing w:after="120"/>
      </w:pPr>
      <w:r>
        <w:rPr>
          <w:b w:val="false"/>
          <w:bCs w:val="false"/>
          <w:i w:val="false"/>
          <w:iCs w:val="false"/>
        </w:rPr>
        <w:t xml:space="preserve">On train: bearish calls where the analyst flagged management credibility as worsening were right 63.4% of the time (45 of 71 calls, range roughly 52% to 74%). Bearish calls where credibility wasn't flagged as worsening were right only 53.1% of the time (17 of 32 calls, range roughly 36% to 69%) — a 10.3-point gap.</w:t>
      </w:r>
    </w:p>
    <w:p>
      <w:pPr>
        <w:spacing w:after="120"/>
      </w:pPr>
      <w:r>
        <w:rPr>
          <w:b w:val="false"/>
          <w:bCs w:val="false"/>
          <w:i w:val="false"/>
          <w:iCs w:val="false"/>
        </w:rPr>
        <w:t xml:space="preserve">On tune (companies this wasn't derived from): same split, same direction — credibility-worsening calls right 62.9% of the time (39 of 62, range roughly 51% to 74%), the other bucket right 50.0% of the time (11 of 22, range roughly 31% to 69%) — a 12.9-point gap.</w:t>
      </w:r>
    </w:p>
    <w:p>
      <w:pPr>
        <w:spacing w:after="120"/>
      </w:pPr>
      <w:r>
        <w:rPr>
          <w:b w:val="false"/>
          <w:bCs w:val="false"/>
          <w:i w:val="false"/>
          <w:iCs w:val="false"/>
        </w:rPr>
        <w:t xml:space="preserve">The direction survived on fresh companies. The size of the gap is modest and the ranges overlap heavily — on both splits, the lower bound of the stronger bucket's range sits below the upper bound of the weaker bucket's range. This axis beats the base rate by 18.5 points (train) and 14.5 points (tune) in its strongest bucket — only a few points more than the 15.3/11.1-point lift the whole undifferentiated bearish-call population already gets over base rate. It is not nothing, but it is not a clean break either.</w:t>
      </w:r>
    </w:p>
    <w:p>
      <w:pPr>
        <w:pStyle w:val="Heading1"/>
        <w:spacing w:after="120" w:before="240"/>
      </w:pPr>
      <w:r>
        <w:t xml:space="preserve">The axes that did not separate, in one line each</w:t>
      </w:r>
    </w:p>
    <w:p>
      <w:pPr>
        <w:pStyle w:val="ListParagraph"/>
        <w:numPr>
          <w:ilvl w:val="0"/>
          <w:numId w:val="1"/>
        </w:numPr>
        <w:spacing w:after="80"/>
      </w:pPr>
      <w:r>
        <w:t xml:space="preserve">A1 (Exit vs. Trim). The analyst essentially never issues "Exit" on its own — 1 call in train, 0 in tune — so there's no real second bucket to test.</w:t>
      </w:r>
    </w:p>
    <w:p>
      <w:pPr>
        <w:pStyle w:val="ListParagraph"/>
        <w:numPr>
          <w:ilvl w:val="0"/>
          <w:numId w:val="1"/>
        </w:numPr>
        <w:spacing w:after="80"/>
      </w:pPr>
      <w:r>
        <w:t xml:space="preserve">A2 (Broken vs. Weakening). Same shape: "Broken" appears once per split. Weakening is effectively the whole bearish population.</w:t>
      </w:r>
    </w:p>
    <w:p>
      <w:pPr>
        <w:pStyle w:val="ListParagraph"/>
        <w:numPr>
          <w:ilvl w:val="0"/>
          <w:numId w:val="1"/>
        </w:numPr>
        <w:spacing w:after="80"/>
      </w:pPr>
      <w:r>
        <w:t xml:space="preserve">A3 (number of blind spots flagged). Looked promising on train (more flags, higher hit rate) but reversed on tune (more flags, lower hit rate).</w:t>
      </w:r>
    </w:p>
    <w:p>
      <w:pPr>
        <w:pStyle w:val="ListParagraph"/>
        <w:numPr>
          <w:ilvl w:val="0"/>
          <w:numId w:val="1"/>
        </w:numPr>
        <w:spacing w:after="80"/>
      </w:pPr>
      <w:r>
        <w:t xml:space="preserve">A4 (type of problem: structural vs. execution vs. discovery). Structural was the strongest bucket on train and the weakest on tune.</w:t>
      </w:r>
    </w:p>
    <w:p>
      <w:pPr>
        <w:pStyle w:val="ListParagraph"/>
        <w:numPr>
          <w:ilvl w:val="0"/>
          <w:numId w:val="1"/>
        </w:numPr>
        <w:spacing w:after="80"/>
      </w:pPr>
      <w:r>
        <w:t xml:space="preserve">A7 (whether the core business mechanism is impaired). True was the strongest bucket on train, the weakest on tune.</w:t>
      </w:r>
    </w:p>
    <w:p>
      <w:pPr>
        <w:pStyle w:val="ListParagraph"/>
        <w:numPr>
          <w:ilvl w:val="0"/>
          <w:numId w:val="1"/>
        </w:numPr>
        <w:spacing w:after="80"/>
      </w:pPr>
      <w:r>
        <w:t xml:space="preserve">A8 (how deep a cut the analyst recommends). Direction flipped between splits, and the deeper-cut buckets are too thin (7–15 calls) to trust either way.</w:t>
      </w:r>
    </w:p>
    <w:p>
      <w:pPr>
        <w:pStyle w:val="Heading1"/>
        <w:spacing w:after="120" w:before="240"/>
      </w:pPr>
      <w:r>
        <w:t xml:space="preserve">What this means for a decision</w:t>
      </w:r>
    </w:p>
    <w:p>
      <w:pPr>
        <w:spacing w:after="120"/>
      </w:pPr>
      <w:r>
        <w:rPr>
          <w:b w:val="false"/>
          <w:bCs w:val="false"/>
          <w:i w:val="false"/>
          <w:iCs w:val="false"/>
        </w:rPr>
        <w:t xml:space="preserve">This run does not decide whether P1 should run — that is Luis's call, made in conversation, not here. What it establishes is the premise P1's case depends on: can something downstream sort strong bearish calls from weak ones, so that added coverage (more bearish calls, from thinner evidence) can be trimmed lightly instead of uniformly?</w:t>
      </w:r>
    </w:p>
    <w:p>
      <w:pPr>
        <w:pStyle w:val="Heading2"/>
        <w:spacing w:after="100" w:before="200"/>
      </w:pPr>
      <w:r>
        <w:t xml:space="preserve">If Luis wants P1 to run as-is</w:t>
      </w:r>
    </w:p>
    <w:p>
      <w:pPr>
        <w:spacing w:after="120"/>
      </w:pPr>
      <w:r>
        <w:rPr>
          <w:b w:val="false"/>
          <w:bCs w:val="false"/>
          <w:i w:val="false"/>
          <w:iCs w:val="false"/>
        </w:rPr>
        <w:t xml:space="preserve">The allocator currently has only one reasonably reliable lever to size trims by — credibility direction — and it's a soft one (10–13 points, overlapping ranges), not a hard cutoff. P1's predicted precision drop (toward the 46.6% base rate) would land on calls the allocator can only partly distinguish. That's a real but limited safety net, not the clean "sort by conviction" story the run set out to test for.</w:t>
      </w:r>
    </w:p>
    <w:p>
      <w:pPr>
        <w:pStyle w:val="Heading2"/>
        <w:spacing w:after="100" w:before="200"/>
      </w:pPr>
      <w:r>
        <w:t xml:space="preserve">If Luis wants a stronger sorting signal before running P1</w:t>
      </w:r>
    </w:p>
    <w:p>
      <w:pPr>
        <w:spacing w:after="120"/>
      </w:pPr>
      <w:r>
        <w:rPr>
          <w:b w:val="false"/>
          <w:bCs w:val="false"/>
          <w:i w:val="false"/>
          <w:iCs w:val="false"/>
        </w:rPr>
        <w:t xml:space="preserve">This run found none among the fields the analyst currently emits. The candidates that reversed (blind-spot count, stumble type, mechanism-impaired, cut depth) aren't just weak — they actively point the wrong way on fresh data, which rules out using any of them as-is for sizing. A precision-focused prompt candidate, or a redesign of what the analyst reports for a bearish call, would need to happen before — or instead of — P1, if the allocator is meant to lean on analyst-reported strength.</w:t>
      </w:r>
    </w:p>
    <w:p>
      <w:pPr>
        <w:pStyle w:val="Heading2"/>
        <w:spacing w:after="100" w:before="200"/>
      </w:pPr>
      <w:r>
        <w:t xml:space="preserve">If nothing changes</w:t>
      </w:r>
    </w:p>
    <w:p>
      <w:pPr>
        <w:spacing w:after="120"/>
      </w:pPr>
      <w:r>
        <w:rPr>
          <w:b w:val="false"/>
          <w:bCs w:val="false"/>
          <w:i w:val="false"/>
          <w:iCs w:val="false"/>
        </w:rPr>
        <w:t xml:space="preserve">Say so plainly — and here, something did change: this run gives Luis one real (if modest) lever that didn't exist as a documented, tested fact before. It is not free of noise, but it is not nothing either.</w:t>
      </w:r>
    </w:p>
    <w:p>
      <w:pPr>
        <w:pStyle w:val="Heading1"/>
        <w:spacing w:after="120" w:before="240"/>
      </w:pPr>
      <w:r>
        <w:t xml:space="preserve">What was deliberately not done</w:t>
      </w:r>
    </w:p>
    <w:p>
      <w:pPr>
        <w:pStyle w:val="ListParagraph"/>
        <w:numPr>
          <w:ilvl w:val="0"/>
          <w:numId w:val="1"/>
        </w:numPr>
        <w:spacing w:after="80"/>
      </w:pPr>
      <w:r>
        <w:t xml:space="preserve">No candidate queue reordering, no PROMPT_ARCHITECTURE.md edits, no registration of a new candidate. Out of this run's scope by design.</w:t>
      </w:r>
    </w:p>
    <w:p>
      <w:pPr>
        <w:pStyle w:val="ListParagraph"/>
        <w:numPr>
          <w:ilvl w:val="0"/>
          <w:numId w:val="1"/>
        </w:numPr>
        <w:spacing w:after="80"/>
      </w:pPr>
      <w:r>
        <w:t xml:space="preserve">No attempt to chase why NOVA doesn't appear in either eval directory despite being named in the prompt and state-of-play as affected — flagged, not resolved.</w:t>
      </w:r>
    </w:p>
    <w:p>
      <w:pPr>
        <w:pStyle w:val="ListParagraph"/>
        <w:numPr>
          <w:ilvl w:val="0"/>
          <w:numId w:val="1"/>
        </w:numPr>
        <w:spacing w:after="80"/>
      </w:pPr>
      <w:r>
        <w:t xml:space="preserve">No attempt to combine axes (e.g., credibility-negative AND high blind-spot count) — a combined read would need its own pre-registration to avoid the screened-on-one-sample trap this run was built to avoid.</w:t>
      </w:r>
    </w:p>
    <w:p>
      <w:pPr>
        <w:pStyle w:val="ListParagraph"/>
        <w:numPr>
          <w:ilvl w:val="0"/>
          <w:numId w:val="1"/>
        </w:numPr>
        <w:spacing w:after="80"/>
      </w:pPr>
      <w:r>
        <w:t xml:space="preserve">No weighting by dollar exposure (position size) — this run, like the underlying scorer, counts every call equally. PROMOTION_GATE.md §3.1a R2 (magnitude weighting) is open and unrelated to this run's scope.</w:t>
      </w:r>
    </w:p>
    <w:p>
      <w:pPr>
        <w:pStyle w:val="Heading1"/>
        <w:spacing w:after="120" w:before="240"/>
      </w:pPr>
      <w:r>
        <w:t xml:space="preserve">Verification performed</w:t>
      </w:r>
    </w:p>
    <w:p>
      <w:pPr>
        <w:pStyle w:val="ListParagraph"/>
        <w:numPr>
          <w:ilvl w:val="0"/>
          <w:numId w:val="1"/>
        </w:numPr>
        <w:spacing w:after="80"/>
      </w:pPr>
      <w:r>
        <w:t xml:space="preserve">python3 -c "import ast; ast.parse(...)" on the driver — passed, both before and after the two mid-run fixes.</w:t>
      </w:r>
    </w:p>
    <w:p>
      <w:pPr>
        <w:pStyle w:val="ListParagraph"/>
        <w:numPr>
          <w:ilvl w:val="0"/>
          <w:numId w:val="1"/>
        </w:numPr>
        <w:spacing w:after="80"/>
      </w:pPr>
      <w:r>
        <w:t xml:space="preserve">Reproduced all three reference figures exactly (train 103/60.2%/44.9%, tune 84/59.5%/48.4%, pooled 187/59.9%/46.6%) before computing any axis.</w:t>
      </w:r>
    </w:p>
    <w:p>
      <w:pPr>
        <w:pStyle w:val="ListParagraph"/>
        <w:numPr>
          <w:ilvl w:val="0"/>
          <w:numId w:val="1"/>
        </w:numPr>
        <w:spacing w:after="80"/>
      </w:pPr>
      <w:r>
        <w:t xml:space="preserve">Re-ran the full driver end-to-end after each fix; confirmed deterministic output (re-running produces identical cells.jsonl).</w:t>
      </w:r>
    </w:p>
    <w:p>
      <w:pPr>
        <w:pStyle w:val="ListParagraph"/>
        <w:numPr>
          <w:ilvl w:val="0"/>
          <w:numId w:val="1"/>
        </w:numPr>
        <w:spacing w:after="80"/>
      </w:pPr>
      <w:r>
        <w:t xml:space="preserve">git status confirmed clean before Step 0 (only this run's own new files present); driver committed (8a022ff) before it produced any output, per the resume protocol.</w:t>
      </w:r>
    </w:p>
    <w:p>
      <w:pPr>
        <w:pStyle w:val="Heading1"/>
        <w:spacing w:after="120" w:before="240"/>
      </w:pPr>
      <w:r>
        <w:t xml:space="preserve">Follow-up commands</w:t>
      </w:r>
    </w:p>
    <w:p>
      <w:pPr>
        <w:spacing w:after="120"/>
      </w:pPr>
      <w:r>
        <w:rPr>
          <w:b w:val="false"/>
          <w:bCs w:val="false"/>
          <w:i w:val="false"/>
          <w:iCs w:val="false"/>
        </w:rPr>
        <w:t xml:space="preserve">Re-run the full analysis from scratch:</w:t>
      </w:r>
    </w:p>
    <w:p>
      <w:pPr>
        <w:spacing w:after="120"/>
      </w:pPr>
      <w:r>
        <w:rPr>
          <w:rFonts w:ascii="Courier New" w:cs="Courier New" w:eastAsia="Courier New" w:hAnsi="Courier New"/>
          <w:sz w:val="18"/>
          <w:szCs w:val="18"/>
        </w:rPr>
        <w:t xml:space="preserve">cd analysis
python3 q2_bearish_strength_driver.py</w:t>
      </w:r>
    </w:p>
    <w:p>
      <w:pPr>
        <w:spacing w:after="120"/>
      </w:pPr>
      <w:r>
        <w:rPr>
          <w:b w:val="false"/>
          <w:bCs w:val="false"/>
          <w:i w:val="false"/>
          <w:iCs w:val="false"/>
        </w:rPr>
        <w:t xml:space="preserve">Re-grade the reference denominators directly against the scorer, for a cross-check outside this run's driver:</w:t>
      </w:r>
    </w:p>
    <w:p>
      <w:pPr>
        <w:spacing w:after="120"/>
      </w:pPr>
      <w:r>
        <w:rPr>
          <w:rFonts w:ascii="Courier New" w:cs="Courier New" w:eastAsia="Courier New" w:hAnsi="Courier New"/>
          <w:sz w:val="18"/>
          <w:szCs w:val="18"/>
        </w:rPr>
        <w:t xml:space="preserve">cd analysis
python3 analyst_direct_scorer.py --eval-dir data/evals/v6_claude-sonnet-4-6 \
    --price-cache data/corpus_v2/scorer_price_cache_v1.json
python3 analyst_direct_scorer.py --eval-dir data/evals/v6_claude-sonnet-4-6_tune \
    --price-cache data/corpus_v2/scorer_price_cache_v1.json \
    --allow-partial-coverage</w:t>
      </w:r>
    </w:p>
    <w:p>
      <w:pPr>
        <w:spacing w:after="120"/>
      </w:pPr>
      <w:r>
        <w:rPr>
          <w:b w:val="false"/>
          <w:bCs w:val="false"/>
          <w:i w:val="false"/>
          <w:iCs w:val="false"/>
        </w:rPr>
        <w:t xml:space="preserve">Inspect the full per-call join (200 bearish rows, all fields, both splits):</w:t>
      </w:r>
    </w:p>
    <w:p>
      <w:pPr>
        <w:spacing w:after="120"/>
      </w:pPr>
      <w:r>
        <w:rPr>
          <w:rFonts w:ascii="Courier New" w:cs="Courier New" w:eastAsia="Courier New" w:hAnsi="Courier New"/>
          <w:sz w:val="18"/>
          <w:szCs w:val="18"/>
        </w:rPr>
        <w:t xml:space="preserve">cd analysis
column -s, -t data/run_state/q2-bearish-strength-separation/joined_calls.csv | less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2026-09-18T00:58:13.930Z</dcterms:created>
  <dcterms:modified xsi:type="dcterms:W3CDTF">2026-09-18T00:58:13.931Z</dcterms:modified>
</cp:coreProperties>
</file>

<file path=docProps/custom.xml><?xml version="1.0" encoding="utf-8"?>
<Properties xmlns="http://schemas.openxmlformats.org/officeDocument/2006/custom-properties" xmlns:vt="http://schemas.openxmlformats.org/officeDocument/2006/docPropsVTypes"/>
</file>