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Allocator thread — state of play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Date: </w:t>
      </w:r>
      <w:r>
        <w:rPr>
          <w:rFonts w:ascii="Calibri" w:cs="Calibri" w:eastAsia="Calibri" w:hAnsi="Calibri"/>
          <w:sz w:val="21"/>
          <w:szCs w:val="21"/>
        </w:rPr>
        <w:t xml:space="preserve">2026-09-01</w:t>
      </w: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Supersedes: </w:t>
      </w:r>
      <w:r>
        <w:rPr>
          <w:rFonts w:ascii="Consolas" w:cs="Consolas" w:eastAsia="Consolas" w:hAnsi="Consolas"/>
          <w:sz w:val="19"/>
          <w:szCs w:val="19"/>
        </w:rPr>
        <w:t xml:space="preserve">docs/handoffs/2026-08-31-allocator-state-of-play.md</w:t>
      </w:r>
      <w:r>
        <w:rPr>
          <w:rFonts w:ascii="Calibri" w:cs="Calibri" w:eastAsia="Calibri" w:hAnsi="Calibri"/>
          <w:sz w:val="21"/>
          <w:szCs w:val="21"/>
        </w:rPr>
        <w:t xml:space="preserve">, which holds the full measurement evidence and the corrections made along the way. This document records what was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decided</w:t>
      </w:r>
      <w:r>
        <w:rPr>
          <w:rFonts w:ascii="Calibri" w:cs="Calibri" w:eastAsia="Calibri" w:hAnsi="Calibri"/>
          <w:sz w:val="21"/>
          <w:szCs w:val="21"/>
        </w:rPr>
        <w:t xml:space="preserve"> on top of it.</w:t>
      </w:r>
    </w:p>
    <w:p>
      <w:pPr>
        <w:spacing w:after="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For: </w:t>
      </w:r>
      <w:r>
        <w:rPr>
          <w:rFonts w:ascii="Calibri" w:cs="Calibri" w:eastAsia="Calibri" w:hAnsi="Calibri"/>
          <w:sz w:val="21"/>
          <w:szCs w:val="21"/>
        </w:rPr>
        <w:t xml:space="preserve">Luis, returning after a few days away.</w:t>
      </w:r>
    </w:p>
    <w:p>
      <w:pPr>
        <w:pBdr>
          <w:bottom w:val="single" w:color="C7D0D9" w:sz="6"/>
        </w:pBdr>
        <w:spacing w:after="240" w:before="240"/>
      </w:pPr>
      <w:r>
        <w:t xml:space="preserve"/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1. What changed since yesterday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Yesterday's document ended with a bracketed optimum and six open decisions.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Five are now settled and one was reframed.</w:t>
      </w:r>
      <w:r>
        <w:rPr>
          <w:rFonts w:ascii="Calibri" w:cs="Calibri" w:eastAsia="Calibri" w:hAnsi="Calibri"/>
          <w:sz w:val="21"/>
          <w:szCs w:val="21"/>
        </w:rPr>
        <w:t xml:space="preserve"> The spec has been amended to match (</w:t>
      </w:r>
      <w:r>
        <w:rPr>
          <w:rFonts w:ascii="Consolas" w:cs="Consolas" w:eastAsia="Consolas" w:hAnsi="Consolas"/>
          <w:sz w:val="19"/>
          <w:szCs w:val="19"/>
        </w:rPr>
        <w:t xml:space="preserve">ALLOCATOR_OPERATING_MODEL.md</w:t>
      </w:r>
      <w:r>
        <w:rPr>
          <w:rFonts w:ascii="Calibri" w:cs="Calibri" w:eastAsia="Calibri" w:hAnsi="Calibri"/>
          <w:sz w:val="21"/>
          <w:szCs w:val="21"/>
        </w:rPr>
        <w:t xml:space="preserve"> §0, new). The next measurement prompt is written and waiting.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The allocator question is no longer "what should the design be." It is "what does the design look like at a realistic operating cadence," which is one sweep away.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2. The settled configuration</w:t>
      </w:r>
    </w:p>
    <w:tbl>
      <w:tblPr>
        <w:tblW w:type="dxa" w:w="10080"/>
        <w:tblBorders>
          <w:top w:val="single" w:color="C7D0D9" w:sz="2"/>
          <w:left w:val="single" w:color="C7D0D9" w:sz="2"/>
          <w:bottom w:val="single" w:color="C7D0D9" w:sz="2"/>
          <w:right w:val="single" w:color="C7D0D9" w:sz="2"/>
          <w:insideH w:val="single" w:color="DCE3EA" w:sz="1"/>
          <w:insideV w:val="single" w:color="DCE3EA" w:sz="1"/>
        </w:tblBorders>
      </w:tblPr>
      <w:tblGrid>
        <w:gridCol w:w="3000"/>
        <w:gridCol w:w="4680"/>
        <w:gridCol w:w="2400"/>
      </w:tblGrid>
      <w:tr>
        <w:trPr>
          <w:tblHeader/>
        </w:trPr>
        <w:tc>
          <w:tcPr>
            <w:tcW w:type="dxa" w:w="30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Parameter</w:t>
            </w:r>
          </w:p>
        </w:tc>
        <w:tc>
          <w:tcPr>
            <w:tcW w:type="dxa" w:w="468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Decision</w:t>
            </w:r>
          </w:p>
        </w:tc>
        <w:tc>
          <w:tcPr>
            <w:tcW w:type="dxa" w:w="2400"/>
            <w:shd w:fill="E8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Funding mode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swap_funding (conformant per-date trim cap)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settled</w:t>
            </w:r>
          </w:p>
        </w:tc>
      </w:tr>
      <w:tr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Per-session change limit X</w:t>
            </w:r>
          </w:p>
        </w:tc>
        <w:tc>
          <w:tcPr>
            <w:tcW w:type="dxa" w:w="46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2.5pp</w:t>
            </w:r>
          </w:p>
        </w:tc>
        <w:tc>
          <w:tcPr>
            <w:tcW w:type="dxa" w:w="24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provisional — re-derive with K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Drawdown ceiling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39.12%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settled</w:t>
            </w:r>
          </w:p>
        </w:tc>
      </w:tr>
      <w:tr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§11 defect #2 (stale cash snapshot)</w:t>
            </w:r>
          </w:p>
        </w:tc>
        <w:tc>
          <w:tcPr>
            <w:tcW w:type="dxa" w:w="46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fix in production</w:t>
            </w:r>
          </w:p>
        </w:tc>
        <w:tc>
          <w:tcPr>
            <w:tcW w:type="dxa" w:w="24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settled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Cap restoration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mechanism change; wording corrected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settled</w:t>
            </w:r>
          </w:p>
        </w:tc>
      </w:tr>
      <w:tr>
        <w:tc>
          <w:tcPr>
            <w:tcW w:type="dxa" w:w="30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Minimum position size</w:t>
            </w:r>
          </w:p>
        </w:tc>
        <w:tc>
          <w:tcPr>
            <w:tcW w:type="dxa" w:w="468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minPositionPct + tradability sub-floor; displacement sells the whole position rather than leaving a stub</w:t>
            </w:r>
          </w:p>
        </w:tc>
        <w:tc>
          <w:tcPr>
            <w:tcW w:type="dxa" w:w="2400"/>
            <w:shd w:fill="F6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form agreed, value unmeasured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Cash reserve level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retired — not a knob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settled</w:t>
            </w:r>
          </w:p>
        </w:tc>
      </w:tr>
    </w:tbl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Why swap-funding, despite a worse drawdown at its peak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Against </w:t>
      </w:r>
      <w:r>
        <w:rPr>
          <w:rFonts w:ascii="Consolas" w:cs="Consolas" w:eastAsia="Consolas" w:hAnsi="Consolas"/>
          <w:sz w:val="19"/>
          <w:szCs w:val="19"/>
        </w:rPr>
        <w:t xml:space="preserve">no_reserve_raw</w:t>
      </w:r>
      <w:r>
        <w:rPr>
          <w:rFonts w:ascii="Calibri" w:cs="Calibri" w:eastAsia="Calibri" w:hAnsi="Calibri"/>
          <w:sz w:val="21"/>
          <w:szCs w:val="21"/>
        </w:rPr>
        <w:t xml:space="preserve"> the gap reads 26.6% vs 21.1%. Most of that is §11 defect #2 flattering the raw baseline. Compared like-for-like — both with the live-cash rebuild — it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+7.5% return for +1.0pp drawdown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And §10 rule 4 says this corpus structurally understates swap-funding: the mechanism exists to fund a candidate that appears while you are fully invested, and no new candidate can appear in a frozen 16-name universe. Its measured advantage is a floor, not a verdict.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Why 2.5pp rather than 3pp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3pp is the return optimum; 2.5pp is the better risk-adjusted cell. The marginal step from 2.5 to 3pp buys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+$6,956 of gain for +3.9pp of drawdown</w:t>
      </w:r>
      <w:r>
        <w:rPr>
          <w:rFonts w:ascii="Calibri" w:cs="Calibri" w:eastAsia="Calibri" w:hAnsi="Calibri"/>
          <w:sz w:val="21"/>
          <w:szCs w:val="21"/>
        </w:rPr>
        <w:t xml:space="preserve"> — roughly 7% more profit for 17% more drawdown.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Why 39.12% rather than 38.0%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Not a change in risk tolerance — an arithmetic correction. The pre-declared formula is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median of the four baselines' max drawdowns, +5pp</w:t>
      </w:r>
      <w:r>
        <w:rPr>
          <w:rFonts w:ascii="Calibri" w:cs="Calibri" w:eastAsia="Calibri" w:hAnsi="Calibri"/>
          <w:sz w:val="21"/>
          <w:szCs w:val="21"/>
        </w:rPr>
        <w:t xml:space="preserve">. Computed with all four (SPY 25.36%, QQQ 35.25%, TMFC 32.99%, equal-weight 42.76%) the median is 34.12% and the ceiling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39.12%</w:t>
      </w:r>
      <w:r>
        <w:rPr>
          <w:rFonts w:ascii="Calibri" w:cs="Calibri" w:eastAsia="Calibri" w:hAnsi="Calibri"/>
          <w:sz w:val="21"/>
          <w:szCs w:val="21"/>
        </w:rPr>
        <w:t xml:space="preserve">. The 38.0% carried for three sessions used only three baselines. Adopting the correct figure flips no cell in the current grid, which is why it was settled now rather than later.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2"/>
          <w:szCs w:val="22"/>
        </w:rPr>
        <w:t xml:space="preserve">Why no cap-restoration mechanism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There was never a contradiction — only loose wording. §9 invariant #2 says no position’s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target</w:t>
      </w:r>
      <w:r>
        <w:rPr>
          <w:rFonts w:ascii="Calibri" w:cs="Calibri" w:eastAsia="Calibri" w:hAnsi="Calibri"/>
          <w:sz w:val="21"/>
          <w:szCs w:val="21"/>
        </w:rPr>
        <w:t xml:space="preserve"> may exceed its cap: a decision-time constraint on purchases. §3 deliberately allows realized weight to drift between calls and credits that for the Type B result. §5’s "caps are inviolable" was written as though it were a continuous constraint; it now says what it means.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At the settled 2.5pp the entire observed drift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TTD at 16.4% against a 15% cap — +1.4pp, on 90 of 894 trading days.</w:t>
      </w:r>
      <w:r>
        <w:rPr>
          <w:rFonts w:ascii="Calibri" w:cs="Calibri" w:eastAsia="Calibri" w:hAnsi="Calibri"/>
          <w:sz w:val="21"/>
          <w:szCs w:val="21"/>
        </w:rPr>
        <w:t xml:space="preserve"> Drift scales with the ceiling (+8.2pp at 5pp, +12.3pp uncapped) and vanishes at 1pp and below.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3. What the configuration means, in plain terms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per-session change limit is a ceiling on how fast one position may grow — not an allocation, and not a constraint on how far a winner runs.</w:t>
      </w:r>
      <w:r>
        <w:rPr>
          <w:rFonts w:ascii="Calibri" w:cs="Calibri" w:eastAsia="Calibri" w:hAnsi="Calibri"/>
          <w:sz w:val="21"/>
          <w:szCs w:val="21"/>
        </w:rPr>
        <w:t xml:space="preserve"> Price drift between calls is unconstrained; the ceiling only throttles buying.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Cash is a residual, not a reserve.</w:t>
      </w:r>
      <w:r>
        <w:rPr>
          <w:rFonts w:ascii="Calibri" w:cs="Calibri" w:eastAsia="Calibri" w:hAnsi="Calibri"/>
          <w:sz w:val="21"/>
          <w:szCs w:val="21"/>
        </w:rPr>
        <w:t xml:space="preserve"> Nothing is held back on purpose. The tight ceiling simply cannot deploy fast enough to stay fully invested — about 29% average cash at 2.5pp — and every dollar is available the moment a name qualifies. Deliberate cash reserves were measured and are retired: they lower drawdown but cost return, and the ceiling lowers drawdown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further</w:t>
      </w:r>
      <w:r>
        <w:rPr>
          <w:rFonts w:ascii="Calibri" w:cs="Calibri" w:eastAsia="Calibri" w:hAnsi="Calibri"/>
          <w:sz w:val="21"/>
          <w:szCs w:val="21"/>
        </w:rPr>
        <w:t xml:space="preserve"> while raising return.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low drawdowns are diversification, not cash.</w:t>
      </w:r>
      <w:r>
        <w:rPr>
          <w:rFonts w:ascii="Calibri" w:cs="Calibri" w:eastAsia="Calibri" w:hAnsi="Calibri"/>
          <w:sz w:val="21"/>
          <w:szCs w:val="21"/>
        </w:rPr>
        <w:t xml:space="preserve"> At its own worst moment the portfolio is 72–79% invested. It took the decline; it just wasn’t concentrated in three names when it arrived.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4. What closed that used to be open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"Order is the allocator" is now a bounded claim.</w:t>
      </w:r>
      <w:r>
        <w:rPr>
          <w:rFonts w:ascii="Calibri" w:cs="Calibri" w:eastAsia="Calibri" w:hAnsi="Calibri"/>
          <w:sz w:val="21"/>
          <w:szCs w:val="21"/>
        </w:rPr>
        <w:t xml:space="preserve"> It holds exactly as long as cash binds. At 2.5pp the spread across fifteen orderings is 0.9%; at 1pp and below all fifteen are identical. The ordering-rule sweep, once queued as the next major thread, is now worth a single confirmation run.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Cash reserve</w:t>
      </w:r>
      <w:r>
        <w:rPr>
          <w:rFonts w:ascii="Calibri" w:cs="Calibri" w:eastAsia="Calibri" w:hAnsi="Calibri"/>
          <w:sz w:val="21"/>
          <w:szCs w:val="21"/>
        </w:rPr>
        <w:t xml:space="preserve"> — retired as a policy knob.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The funding-mode question</w:t>
      </w:r>
      <w:r>
        <w:rPr>
          <w:rFonts w:ascii="Calibri" w:cs="Calibri" w:eastAsia="Calibri" w:hAnsi="Calibri"/>
          <w:sz w:val="21"/>
          <w:szCs w:val="21"/>
        </w:rPr>
        <w:t xml:space="preserve"> — the thing this whole thread was blocked on.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5. What remains open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K, the operating cadence — and with it the real value of the limit. This is the next run.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minPositionPct — form agreed, value unmeasured. Folded into the cadence prompt.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A speculative drift backstop — the 15%-cap → 25%-profit-take band leaves 10pp of unpoliced room. Never approached in this corpus (max 16.4%). Would be a new rule, not a clarification.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Scope — new_calls_only vs cash_deployment. §3 specifies cash-deployment; it has never actually been implemented. The cadence prompt builds it.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Speculative ceiling level — still pending the exposure diagnostic.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Rule 3b's plateau test — replaced in the cadence prompt with a practical-significance band; the overlap test stopped working once draw spreads collapsed below 1%.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Option B — re-evaluating ALL16’s 312 transcripts (~$25–35) to recover the full window. Still the only route past a 148-event corpus.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The veto / capitulation sweep — unblocked now, but deliberately last.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6. Next step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Run </w:t>
      </w:r>
      <w:r>
        <w:rPr>
          <w:rFonts w:ascii="Consolas" w:cs="Consolas" w:eastAsia="Consolas" w:hAnsi="Consolas"/>
          <w:sz w:val="19"/>
          <w:szCs w:val="19"/>
        </w:rPr>
        <w:t xml:space="preserve">prompts/sweep-cadence-and-session-model.md</w:t>
      </w:r>
      <w:r>
        <w:rPr>
          <w:rFonts w:ascii="Calibri" w:cs="Calibri" w:eastAsia="Calibri" w:hAnsi="Calibri"/>
          <w:sz w:val="21"/>
          <w:szCs w:val="21"/>
        </w:rPr>
        <w:t xml:space="preserve"> (CLI, no API spend).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It is not just another parameter sweep. Every measurement so far ran at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per-call cadence</w:t>
      </w:r>
      <w:r>
        <w:rPr>
          <w:rFonts w:ascii="Calibri" w:cs="Calibri" w:eastAsia="Calibri" w:hAnsi="Calibri"/>
          <w:sz w:val="21"/>
          <w:szCs w:val="21"/>
        </w:rPr>
        <w:t xml:space="preserve">, where a position can only receive on its own earnings call — roughly four times a year. Under §2’s session model and §3’s cash-deployment scope, a session happens every K days and free cash goes to the best eligible candidate anywhere. The same 2.5pp then deploys at a completely different rate: ~10pp/year at per-call cadence, up to ~130pp/year at K=7.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 the limit value and the cadence are one measurement, not two.</w:t>
      </w:r>
      <w:r>
        <w:rPr>
          <w:rFonts w:ascii="Calibri" w:cs="Calibri" w:eastAsia="Calibri" w:hAnsi="Calibri"/>
          <w:sz w:val="21"/>
          <w:szCs w:val="21"/>
        </w:rPr>
        <w:t xml:space="preserve"> That is why 2.5pp is provisional.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The prompt implements §3’s session model — new machinery, never built — behind a hard equivalence gate: configured to mimic the old per-call harness it must reproduce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$190,481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$141,836.57</w:t>
      </w:r>
      <w:r>
        <w:rPr>
          <w:rFonts w:ascii="Calibri" w:cs="Calibri" w:eastAsia="Calibri" w:hAnsi="Calibri"/>
          <w:sz w:val="21"/>
          <w:szCs w:val="21"/>
        </w:rPr>
        <w:t xml:space="preserve"> exactly, or the run stops. It then sweeps K × phase × scope × limit, and folds in the minPositionPct sweep, the one-shot ordering confirmation, and the staleness/return frontier that prices Step 6 (automated transcript ingestion).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7. Housekeeping — two things worth doing before you step away</w:t>
      </w:r>
    </w:p>
    <w:p>
      <w:pPr>
        <w:spacing w:after="8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Push the branch.</w:t>
      </w:r>
      <w:r>
        <w:rPr>
          <w:rFonts w:ascii="Calibri" w:cs="Calibri" w:eastAsia="Calibri" w:hAnsi="Calibri"/>
          <w:sz w:val="21"/>
          <w:szCs w:val="21"/>
        </w:rPr>
        <w:t xml:space="preserve"> 29 commits are local-only:</w:t>
      </w:r>
    </w:p>
    <w:p>
      <w:pPr>
        <w:shd w:fill="F2F4F6" w:val="clear"/>
        <w:spacing w:after="0" w:before="8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~/Dropbox/"My Mac (MacBook-Pro.attlocal.net)"/Desktop/investment-agent</w:t>
      </w:r>
    </w:p>
    <w:p>
      <w:pPr>
        <w:shd w:fill="F2F4F6" w:val="clear"/>
        <w:spacing w:after="160" w:before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git push origin sweep/db-corpus-baseline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Verified safe: </w:t>
      </w:r>
      <w:r>
        <w:rPr>
          <w:rFonts w:ascii="Consolas" w:cs="Consolas" w:eastAsia="Consolas" w:hAnsi="Consolas"/>
          <w:sz w:val="19"/>
          <w:szCs w:val="19"/>
        </w:rPr>
        <w:t xml:space="preserve">.env</w:t>
      </w:r>
      <w:r>
        <w:rPr>
          <w:rFonts w:ascii="Calibri" w:cs="Calibri" w:eastAsia="Calibri" w:hAnsi="Calibri"/>
          <w:sz w:val="21"/>
          <w:szCs w:val="21"/>
        </w:rPr>
        <w:t xml:space="preserve"> and the </w:t>
      </w:r>
      <w:r>
        <w:rPr>
          <w:rFonts w:ascii="Consolas" w:cs="Consolas" w:eastAsia="Consolas" w:hAnsi="Consolas"/>
          <w:sz w:val="19"/>
          <w:szCs w:val="19"/>
        </w:rPr>
        <w:t xml:space="preserve">testing/</w:t>
      </w:r>
      <w:r>
        <w:rPr>
          <w:rFonts w:ascii="Calibri" w:cs="Calibri" w:eastAsia="Calibri" w:hAnsi="Calibri"/>
          <w:sz w:val="21"/>
          <w:szCs w:val="21"/>
        </w:rPr>
        <w:t xml:space="preserve"> brokerage CSVs were never committed, and the only CSVs in history are simulation outputs.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Get the corpus dump off the laptop.</w:t>
      </w:r>
      <w:r>
        <w:rPr>
          <w:rFonts w:ascii="Calibri" w:cs="Calibri" w:eastAsia="Calibri" w:hAnsi="Calibri"/>
          <w:sz w:val="21"/>
          <w:szCs w:val="21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~/investment-agent-backups/analysis_corpus_20260830.sql</w:t>
      </w:r>
      <w:r>
        <w:rPr>
          <w:rFonts w:ascii="Calibri" w:cs="Calibri" w:eastAsia="Calibri" w:hAnsi="Calibri"/>
          <w:sz w:val="21"/>
          <w:szCs w:val="21"/>
        </w:rPr>
        <w:t xml:space="preserve"> (41 MB) sits outside Dropbox, so it exists on one machine. It is the single irreplaceable artifact in this project — the model that produced those evaluations is retired, so it cannot be regenerated at any price. If it is lost, $141,837 joins $287k as a number nobody can reproduce.</w:t>
      </w:r>
    </w:p>
    <w:p>
      <w:pPr>
        <w:spacing w:after="120" w:before="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Still not done from §10b:</w:t>
      </w:r>
      <w:r>
        <w:rPr>
          <w:rFonts w:ascii="Calibri" w:cs="Calibri" w:eastAsia="Calibri" w:hAnsi="Calibri"/>
          <w:sz w:val="21"/>
          <w:szCs w:val="21"/>
        </w:rPr>
        <w:t xml:space="preserve"> archiving </w:t>
      </w:r>
      <w:r>
        <w:rPr>
          <w:rFonts w:ascii="Consolas" w:cs="Consolas" w:eastAsia="Consolas" w:hAnsi="Consolas"/>
          <w:sz w:val="19"/>
          <w:szCs w:val="19"/>
        </w:rPr>
        <w:t xml:space="preserve">price_cache.json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fundamentals_cache.json</w:t>
      </w:r>
      <w:r>
        <w:rPr>
          <w:rFonts w:ascii="Calibri" w:cs="Calibri" w:eastAsia="Calibri" w:hAnsi="Calibri"/>
          <w:sz w:val="21"/>
          <w:szCs w:val="21"/>
        </w:rPr>
        <w:t xml:space="preserve"> to a dated folder with recorded checksums. They are incidentally Dropbox-synced, but one </w:t>
      </w:r>
      <w:r>
        <w:rPr>
          <w:rFonts w:ascii="Consolas" w:cs="Consolas" w:eastAsia="Consolas" w:hAnsi="Consolas"/>
          <w:sz w:val="19"/>
          <w:szCs w:val="19"/>
        </w:rPr>
        <w:t xml:space="preserve">fetch_fundamentals.py</w:t>
      </w:r>
      <w:r>
        <w:rPr>
          <w:rFonts w:ascii="Calibri" w:cs="Calibri" w:eastAsia="Calibri" w:hAnsi="Calibri"/>
          <w:sz w:val="21"/>
          <w:szCs w:val="21"/>
        </w:rPr>
        <w:t xml:space="preserve"> run would overwrite them and Dropbox would faithfully sync the damage.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8. Reproducibility state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Branch </w:t>
      </w:r>
      <w:r>
        <w:rPr>
          <w:rFonts w:ascii="Consolas" w:cs="Consolas" w:eastAsia="Consolas" w:hAnsi="Consolas"/>
          <w:sz w:val="19"/>
          <w:szCs w:val="19"/>
        </w:rPr>
        <w:t xml:space="preserve">sweep/db-corpus-baseline</w:t>
      </w:r>
      <w:r>
        <w:rPr>
          <w:rFonts w:ascii="Calibri" w:cs="Calibri" w:eastAsia="Calibri" w:hAnsi="Calibri"/>
          <w:sz w:val="21"/>
          <w:szCs w:val="21"/>
        </w:rPr>
        <w:t xml:space="preserve">; spec amendment at </w:t>
      </w:r>
      <w:r>
        <w:rPr>
          <w:rFonts w:ascii="Consolas" w:cs="Consolas" w:eastAsia="Consolas" w:hAnsi="Consolas"/>
          <w:sz w:val="19"/>
          <w:szCs w:val="19"/>
        </w:rPr>
        <w:t xml:space="preserve">ca29b37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33 manifests from the final grid, all </w:t>
      </w:r>
      <w:r>
        <w:rPr>
          <w:rFonts w:ascii="Consolas" w:cs="Consolas" w:eastAsia="Consolas" w:hAnsi="Consolas"/>
          <w:sz w:val="19"/>
          <w:szCs w:val="19"/>
        </w:rPr>
        <w:t xml:space="preserve">git_dirty: false</w:t>
      </w:r>
      <w:r>
        <w:rPr>
          <w:rFonts w:ascii="Calibri" w:cs="Calibri" w:eastAsia="Calibri" w:hAnsi="Calibri"/>
          <w:sz w:val="21"/>
          <w:szCs w:val="21"/>
        </w:rPr>
        <w:t xml:space="preserve">, each </w:t>
      </w:r>
      <w:r>
        <w:rPr>
          <w:rFonts w:ascii="Consolas" w:cs="Consolas" w:eastAsia="Consolas" w:hAnsi="Consolas"/>
          <w:sz w:val="19"/>
          <w:szCs w:val="19"/>
        </w:rPr>
        <w:t xml:space="preserve">driver_file</w:t>
      </w:r>
      <w:r>
        <w:rPr>
          <w:rFonts w:ascii="Calibri" w:cs="Calibri" w:eastAsia="Calibri" w:hAnsi="Calibri"/>
          <w:sz w:val="21"/>
          <w:szCs w:val="21"/>
        </w:rPr>
        <w:t xml:space="preserve"> verified present in the commit it names.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Standing assertion holds: </w:t>
      </w:r>
      <w:r>
        <w:rPr>
          <w:rFonts w:ascii="Consolas" w:cs="Consolas" w:eastAsia="Consolas" w:hAnsi="Consolas"/>
          <w:sz w:val="19"/>
          <w:szCs w:val="19"/>
        </w:rPr>
        <w:t xml:space="preserve">no_reserve</w:t>
      </w:r>
      <w:r>
        <w:rPr>
          <w:rFonts w:ascii="Calibri" w:cs="Calibri" w:eastAsia="Calibri" w:hAnsi="Calibri"/>
          <w:sz w:val="21"/>
          <w:szCs w:val="21"/>
        </w:rPr>
        <w:t xml:space="preserve"> control =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$141,836.57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Cross-grid anchors reproduce to six decimal places.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onsolas" w:cs="Consolas" w:eastAsia="Consolas" w:hAnsi="Consolas"/>
          <w:sz w:val="19"/>
          <w:szCs w:val="19"/>
        </w:rPr>
        <w:t xml:space="preserve">price_cache.json</w:t>
      </w:r>
      <w:r>
        <w:rPr>
          <w:rFonts w:ascii="Calibri" w:cs="Calibri" w:eastAsia="Calibri" w:hAnsi="Calibri"/>
          <w:sz w:val="21"/>
          <w:szCs w:val="21"/>
        </w:rP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fundamentals_cache.json</w:t>
      </w:r>
      <w:r>
        <w:rPr>
          <w:rFonts w:ascii="Calibri" w:cs="Calibri" w:eastAsia="Calibri" w:hAnsi="Calibri"/>
          <w:sz w:val="21"/>
          <w:szCs w:val="21"/>
        </w:rPr>
        <w:t xml:space="preserve"> frozen at 2026-05-11 —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never refresh them to clear the staleness warning.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onsolas" w:cs="Consolas" w:eastAsia="Consolas" w:hAnsi="Consolas"/>
          <w:sz w:val="19"/>
          <w:szCs w:val="19"/>
        </w:rPr>
        <w:t xml:space="preserve">testing/</w:t>
      </w:r>
      <w:r>
        <w:rPr>
          <w:rFonts w:ascii="Calibri" w:cs="Calibri" w:eastAsia="Calibri" w:hAnsi="Calibri"/>
          <w:sz w:val="21"/>
          <w:szCs w:val="21"/>
        </w:rPr>
        <w:t xml:space="preserve"> is gitignored and must stay that way.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9. First action on return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Run the cadence prompt. Everything else waits on what K does to the limit value.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If the equivalence gate fails, stop there and read the failure — it means §3’s session model changed behaviour the old harness had, and nothing downstream is comparable until that is understood.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20364B"/>
          <w:sz w:val="26"/>
          <w:szCs w:val="26"/>
        </w:rPr>
        <w:t xml:space="preserve">10. Standing lessons from this thread</w:t>
      </w:r>
    </w:p>
    <w:p>
      <w:pPr>
        <w:spacing w:after="120" w:before="0" w:line="276"/>
      </w:pPr>
      <w:r>
        <w:rPr>
          <w:rFonts w:ascii="Calibri" w:cs="Calibri" w:eastAsia="Calibri" w:hAnsi="Calibri"/>
          <w:sz w:val="21"/>
          <w:szCs w:val="21"/>
        </w:rPr>
        <w:t xml:space="preserve">Kept because they cost real time to learn: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gate must test correctness, not the prompt author’s expectations.</w:t>
      </w:r>
      <w:r>
        <w:rPr>
          <w:rFonts w:ascii="Calibri" w:cs="Calibri" w:eastAsia="Calibri" w:hAnsi="Calibri"/>
          <w:sz w:val="21"/>
          <w:szCs w:val="21"/>
        </w:rPr>
        <w:t xml:space="preserve"> Four runs stopped on design-session drafting errors: a rule with two contradicting clauses, a conflation of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target</w:t>
      </w:r>
      <w:r>
        <w:rPr>
          <w:rFonts w:ascii="Calibri" w:cs="Calibri" w:eastAsia="Calibri" w:hAnsi="Calibri"/>
          <w:sz w:val="21"/>
          <w:szCs w:val="21"/>
        </w:rPr>
        <w:t xml:space="preserve"> with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realized weight</w:t>
      </w:r>
      <w:r>
        <w:rPr>
          <w:rFonts w:ascii="Calibri" w:cs="Calibri" w:eastAsia="Calibri" w:hAnsi="Calibri"/>
          <w:sz w:val="21"/>
          <w:szCs w:val="21"/>
        </w:rPr>
        <w:t xml:space="preserve">, a prediction written as a gate, and a gate placed on a defect §11 documents as known and unfixed.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onsolas" w:cs="Consolas" w:eastAsia="Consolas" w:hAnsi="Consolas"/>
          <w:sz w:val="19"/>
          <w:szCs w:val="19"/>
        </w:rPr>
        <w:t xml:space="preserve">off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 belongs at the loose end of a limit axis.</w:t>
      </w:r>
      <w:r>
        <w:rPr>
          <w:rFonts w:ascii="Calibri" w:cs="Calibri" w:eastAsia="Calibri" w:hAnsi="Calibri"/>
          <w:sz w:val="21"/>
          <w:szCs w:val="21"/>
        </w:rPr>
        <w:t xml:space="preserve"> Placing it first produced three consecutive false "jagged" verdicts.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Rank overlapping ranges as tied.</w:t>
      </w:r>
      <w:r>
        <w:rPr>
          <w:rFonts w:ascii="Calibri" w:cs="Calibri" w:eastAsia="Calibri" w:hAnsi="Calibri"/>
          <w:sz w:val="21"/>
          <w:szCs w:val="21"/>
        </w:rPr>
        <w:t xml:space="preserve"> Rule 2 exists because a median difference inside the noise band was twice reported as a result.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number without a manifest is not citable</w:t>
      </w:r>
      <w:r>
        <w:rPr>
          <w:rFonts w:ascii="Calibri" w:cs="Calibri" w:eastAsia="Calibri" w:hAnsi="Calibri"/>
          <w:sz w:val="21"/>
          <w:szCs w:val="21"/>
        </w:rPr>
        <w:t xml:space="preserve"> — and the manifest must name a commit that actually contains the driver.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2026-09-01T00:35:00.712Z</dcterms:created>
  <dcterms:modified xsi:type="dcterms:W3CDTF">2026-09-01T00:35:00.735Z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