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TASK-00 — Convenciones de arquitectura y calidad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Antes de implementar funcionalidades, el equipo debe acordar estas fronteras. El objetivo no es agregar capas por moda, sino evitar que FastAPI, SQLAlchemy o Google definan el negocio.</w:t>
      </w:r>
    </w:p>
    <w:p>
      <w:pPr>
        <w:pStyle w:val="Heading2"/>
        <w:keepNext/>
      </w:pPr>
      <w:r>
        <w:t>Camino rápido</w:t>
      </w:r>
    </w:p>
    <w:p>
      <w:r>
        <w:t>1. Usar módulos verticales: identity, services, bookings e integrations.</w:t>
      </w:r>
    </w:p>
    <w:p>
      <w:r>
        <w:t>2. Mantener routers delgados: validan HTTP y delegan casos de uso.</w:t>
      </w:r>
    </w:p>
    <w:p>
      <w:r>
        <w:t>3. Mantener reglas del negocio fuera de routers y adaptadores externos.</w:t>
      </w:r>
    </w:p>
    <w:p>
      <w:r>
        <w:t>4. Inyectar AsyncSession y puertos externos; no usar estado global mutable.</w:t>
      </w:r>
    </w:p>
    <w:p>
      <w:r>
        <w:t>5. Proteger invariantes críticas también en PostgreSQL.</w:t>
      </w:r>
    </w:p>
    <w:p>
      <w:pPr>
        <w:pStyle w:val="Heading2"/>
        <w:keepNext/>
      </w:pPr>
      <w:r>
        <w:t>Aplicación de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Aplicación en After Look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SRP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Router HTTP, caso de uso, consulta SQL y adaptador Google tienen responsabilidades distintas.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OCP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Nuevos canales de notificación o calendarios se agregan implementando un puerto, sin modificar reservas.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LSP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Un adaptador falso para tests debe poder reemplazar al adaptador Google sin cambiar el caso de uso.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ISP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Definir puertos pequeños, por ejemplo CalendarPort, en lugar de un cliente externo gigante.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DIP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Los casos de uso dependen de protocolos y contratos; FastAPI y Google son detalles externos.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Convenciones técnicas</w:t>
      </w:r>
    </w:p>
    <w:p>
      <w:pPr>
        <w:pStyle w:val="ListBullet"/>
      </w:pPr>
      <w:r>
        <w:t>Python 3.14 y anotaciones modernas (X | None, list[X]).</w:t>
      </w:r>
    </w:p>
    <w:p>
      <w:pPr>
        <w:pStyle w:val="ListBullet"/>
      </w:pPr>
      <w:r>
        <w:t>SQLAlchemy 2 con select() y una AsyncSession por request o tarea.</w:t>
      </w:r>
    </w:p>
    <w:p>
      <w:pPr>
        <w:pStyle w:val="ListBullet"/>
      </w:pPr>
      <w:r>
        <w:t>Nunca compartir una misma AsyncSession entre tareas concurrentes.</w:t>
      </w:r>
    </w:p>
    <w:p>
      <w:pPr>
        <w:pStyle w:val="ListBullet"/>
      </w:pPr>
      <w:r>
        <w:t>Pydantic para contratos HTTP; modelos ORM solo en persistencia.</w:t>
      </w:r>
    </w:p>
    <w:p>
      <w:pPr>
        <w:pStyle w:val="ListBullet"/>
      </w:pPr>
      <w:r>
        <w:t>Datetimes conscientes de zona horaria; negocio en America/Argentina/Buenos_Aires y persistencia TIMESTAMPTZ.</w:t>
      </w:r>
    </w:p>
    <w:p>
      <w:pPr>
        <w:pStyle w:val="ListBullet"/>
      </w:pPr>
      <w:r>
        <w:t>Excepciones de aplicación (NotFoundError, ConflictError, BusinessRuleError), no ValueError genérico.</w:t>
      </w:r>
    </w:p>
    <w:p>
      <w:pPr>
        <w:pStyle w:val="ListBullet"/>
      </w:pPr>
      <w:r>
        <w:t>Migraciones versionadas; nunca modificar una migración ya aplicada en ambientes compartidos.</w:t>
      </w:r>
    </w:p>
    <w:p>
      <w:pPr>
        <w:pStyle w:val="ListBullet"/>
      </w:pPr>
      <w:r>
        <w:t>No realizar llamadas a Google dentro de la transacción que crea una reserva.</w:t>
      </w:r>
    </w:p>
    <w:p>
      <w:pPr>
        <w:pStyle w:val="Heading2"/>
        <w:keepNext/>
      </w:pPr>
      <w:r>
        <w:t>Estructura objetivo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app/modules/</w:t>
        <w:br/>
        <w:t>├── identity/</w:t>
        <w:br/>
        <w:t>│   ├── router.py</w:t>
        <w:br/>
        <w:t>│   ├── schemas.py</w:t>
        <w:br/>
        <w:t>│   └── service.py</w:t>
        <w:br/>
        <w:t>├── services/</w:t>
        <w:br/>
        <w:t>│   ├── router.py</w:t>
        <w:br/>
        <w:t>│   ├── schemas.py</w:t>
        <w:br/>
        <w:t>│   ├── service.py</w:t>
        <w:br/>
        <w:t>│   └── shared/models.py</w:t>
        <w:br/>
        <w:t>├── bookings/</w:t>
        <w:br/>
        <w:t>│   ├── router.py</w:t>
        <w:br/>
        <w:t>│   ├── schemas.py</w:t>
        <w:br/>
        <w:t>│   └── service.py</w:t>
        <w:br/>
        <w:t>└── integrations/</w:t>
        <w:br/>
        <w:t xml:space="preserve">    └── google_calendar/</w:t>
        <w:br/>
        <w:t xml:space="preserve">        ├── adapter.py</w:t>
        <w:br/>
        <w:t xml:space="preserve">        ├── port.py</w:t>
        <w:br/>
        <w:t xml:space="preserve">        └── worker.py</w:t>
      </w:r>
    </w:p>
    <w:p>
      <w:pPr>
        <w:pStyle w:val="Heading2"/>
        <w:keepNext/>
      </w:pPr>
      <w:r>
        <w:t>Fuera de alcance</w:t>
      </w:r>
    </w:p>
    <w:p>
      <w:pPr>
        <w:pStyle w:val="ListBullet"/>
      </w:pPr>
      <w:r>
        <w:t>Microservicios.</w:t>
      </w:r>
    </w:p>
    <w:p>
      <w:pPr>
        <w:pStyle w:val="ListBullet"/>
      </w:pPr>
      <w:r>
        <w:t>Event sourcing.</w:t>
      </w:r>
    </w:p>
    <w:p>
      <w:pPr>
        <w:pStyle w:val="ListBullet"/>
      </w:pPr>
      <w:r>
        <w:t>Pagos y señas.</w:t>
      </w:r>
    </w:p>
    <w:p>
      <w:pPr>
        <w:pStyle w:val="ListBullet"/>
      </w:pPr>
      <w:r>
        <w:t>WhatsApp hasta definir proveedor, costo y requisitos.</w:t>
      </w:r>
    </w:p>
    <w:p>
      <w:pPr>
        <w:pStyle w:val="ListBullet"/>
      </w:pPr>
      <w:r>
        <w:t>Repositorios genéricos que solo oculten SQLAlchemy sin aportar una frontera real.</w:t>
      </w:r>
    </w:p>
    <w:p>
      <w:pPr>
        <w:pStyle w:val="Heading2"/>
        <w:keepNext/>
      </w:pPr>
      <w:r>
        <w:t>Referencias oficiales</w:t>
      </w:r>
    </w:p>
    <w:p>
      <w:pPr>
        <w:pStyle w:val="ListBullet"/>
      </w:pPr>
      <w:r>
        <w:t>SQLAlchemy asyncio (https://docs.sqlalchemy.org/en/20/orm/extensions/asyncio.html)</w:t>
      </w:r>
    </w:p>
    <w:p>
      <w:pPr>
        <w:pStyle w:val="ListBullet"/>
      </w:pPr>
      <w:r>
        <w:t>FastAPI dependencies (https://fastapi.tiangolo.com/tutorial/dependencies/)</w:t>
      </w:r>
    </w:p>
    <w:p>
      <w:pPr>
        <w:pStyle w:val="ListBullet"/>
      </w:pPr>
      <w:r>
        <w:t>PostgreSQL range constraints (https://www.postgresql.org/docs/18/rangetypes.html)</w:t>
      </w:r>
    </w:p>
    <w:p>
      <w:pPr>
        <w:pStyle w:val="ListBullet"/>
      </w:pPr>
      <w:r>
        <w:t>Google OAuth for web server applications (https://developers.google.com/identity/protocols/oauth2/web-server)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Cada módulo tiene una responsabilidad reconocible.</w:t>
      </w:r>
    </w:p>
    <w:p>
      <w:pPr>
        <w:ind w:left="288"/>
      </w:pPr>
      <w:r>
        <w:t>☐ Los routers no contienen SQL ni reglas de negocio.</w:t>
      </w:r>
    </w:p>
    <w:p>
      <w:pPr>
        <w:ind w:left="288"/>
      </w:pPr>
      <w:r>
        <w:t>☐ Los servicios no dependen de objetos HTTP.</w:t>
      </w:r>
    </w:p>
    <w:p>
      <w:pPr>
        <w:ind w:left="288"/>
      </w:pPr>
      <w:r>
        <w:t>☐ Las integraciones externas se acceden mediante puertos pequeños.</w:t>
      </w:r>
    </w:p>
    <w:p>
      <w:pPr>
        <w:ind w:left="288"/>
      </w:pPr>
      <w:r>
        <w:t>☐ Las invariantes críticas tienen respaldo en PostgreSQL.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