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Your number is 456</w:t>
      </w:r>
    </w:p>
    <w:p>
      <w:r>
        <w:t>Your square root is 21.354156504062622</w:t>
      </w:r>
    </w:p>
    <w:p>
      <w:r>
        <w:t>Your square is 207936</w:t>
      </w:r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34" w:right="907" w:bottom="567" w:left="6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  <w:p>
    <w:r>
      <w:t>GOLD's Incredible Calculator - jose - 2020-03-31</w:t>
    </w:r>
  </w:p>
  <w:p>
    <w:r>
      <w:t xml:space="preserve">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