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técnica: modelo de pronóstico y herramientas (Caso 8)</w:t>
      </w:r>
    </w:p>
    <w:p>
      <w:r>
        <w:t>Material de referencia con datos y definiciones. El texto del informe lo redacta el equipo.</w:t>
      </w:r>
    </w:p>
    <w:p>
      <w:pPr>
        <w:pStyle w:val="Heading1"/>
      </w:pPr>
      <w:r>
        <w:t>1. Herramientas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  <w:tc>
          <w:tcPr>
            <w:tcW w:type="dxa" w:w="2880"/>
          </w:tcPr>
          <w:p>
            <w:r>
              <w:t>Para qué se usa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3.12</w:t>
            </w:r>
          </w:p>
        </w:tc>
        <w:tc>
          <w:tcPr>
            <w:tcW w:type="dxa" w:w="2880"/>
          </w:tcPr>
          <w:p>
            <w:r>
              <w:t>Lenguaje de todo el pipeline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3.0.5</w:t>
            </w:r>
          </w:p>
        </w:tc>
        <w:tc>
          <w:tcPr>
            <w:tcW w:type="dxa" w:w="2880"/>
          </w:tcPr>
          <w:p>
            <w:r>
              <w:t>Limpieza y transformación de tablas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Regresiones (mínimos cuadrados) y estadística</w:t>
            </w:r>
          </w:p>
        </w:tc>
      </w:tr>
      <w:tr>
        <w:tc>
          <w:tcPr>
            <w:tcW w:type="dxa" w:w="2880"/>
          </w:tcPr>
          <w:p>
            <w:r>
              <w:t>DuckDB</w:t>
            </w:r>
          </w:p>
        </w:tc>
        <w:tc>
          <w:tcPr>
            <w:tcW w:type="dxa" w:w="2880"/>
          </w:tcPr>
          <w:p>
            <w:r>
              <w:t>1.5.5</w:t>
            </w:r>
          </w:p>
        </w:tc>
        <w:tc>
          <w:tcPr>
            <w:tcW w:type="dxa" w:w="2880"/>
          </w:tcPr>
          <w:p>
            <w:r>
              <w:t>Base de datos analítica: modelo estrella (SQL sobre parquet)</w:t>
            </w:r>
          </w:p>
        </w:tc>
      </w:tr>
      <w:tr>
        <w:tc>
          <w:tcPr>
            <w:tcW w:type="dxa" w:w="2880"/>
          </w:tcPr>
          <w:p>
            <w:r>
              <w:t>PyArrow</w:t>
            </w:r>
          </w:p>
        </w:tc>
        <w:tc>
          <w:tcPr>
            <w:tcW w:type="dxa" w:w="2880"/>
          </w:tcPr>
          <w:p>
            <w:r>
              <w:t>25.0.1</w:t>
            </w:r>
          </w:p>
        </w:tc>
        <w:tc>
          <w:tcPr>
            <w:tcW w:type="dxa" w:w="2880"/>
          </w:tcPr>
          <w:p>
            <w:r>
              <w:t>Archivos parquet (data/interim)</w:t>
            </w:r>
          </w:p>
        </w:tc>
      </w:tr>
      <w:tr>
        <w:tc>
          <w:tcPr>
            <w:tcW w:type="dxa" w:w="2880"/>
          </w:tcPr>
          <w:p>
            <w:r>
              <w:t>requests / zeep</w:t>
            </w:r>
          </w:p>
        </w:tc>
        <w:tc>
          <w:tcPr>
            <w:tcW w:type="dxa" w:w="2880"/>
          </w:tcPr>
          <w:p>
            <w:r>
              <w:t>2.34 / 4.3</w:t>
            </w:r>
          </w:p>
        </w:tc>
        <w:tc>
          <w:tcPr>
            <w:tcW w:type="dxa" w:w="2880"/>
          </w:tcPr>
          <w:p>
            <w:r>
              <w:t>Descarga de APIs REST y SOAP (SIPSA)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1.63.0</w:t>
            </w:r>
          </w:p>
        </w:tc>
        <w:tc>
          <w:tcPr>
            <w:tcW w:type="dxa" w:w="2880"/>
          </w:tcPr>
          <w:p>
            <w:r>
              <w:t>Aplicación web (tablero)</w:t>
            </w:r>
          </w:p>
        </w:tc>
      </w:tr>
      <w:tr>
        <w:tc>
          <w:tcPr>
            <w:tcW w:type="dxa" w:w="2880"/>
          </w:tcPr>
          <w:p>
            <w:r>
              <w:t>Plotly / Altair / pydeck</w:t>
            </w:r>
          </w:p>
        </w:tc>
        <w:tc>
          <w:tcPr>
            <w:tcW w:type="dxa" w:w="2880"/>
          </w:tcPr>
          <w:p>
            <w:r>
              <w:t>7.1 / 6.2 / 0.9</w:t>
            </w:r>
          </w:p>
        </w:tc>
        <w:tc>
          <w:tcPr>
            <w:tcW w:type="dxa" w:w="2880"/>
          </w:tcPr>
          <w:p>
            <w:r>
              <w:t>Gráficas y mapa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9.1.1</w:t>
            </w:r>
          </w:p>
        </w:tc>
        <w:tc>
          <w:tcPr>
            <w:tcW w:type="dxa" w:w="2880"/>
          </w:tcPr>
          <w:p>
            <w:r>
              <w:t>Pruebas automáticas (sin red, con recortes de respuestas reales)</w:t>
            </w:r>
          </w:p>
        </w:tc>
      </w:tr>
      <w:tr>
        <w:tc>
          <w:tcPr>
            <w:tcW w:type="dxa" w:w="2880"/>
          </w:tcPr>
          <w:p>
            <w:r>
              <w:t>OpenRefine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Homologación del catálogo de artículos SIPSA</w:t>
            </w:r>
          </w:p>
        </w:tc>
      </w:tr>
      <w:tr>
        <w:tc>
          <w:tcPr>
            <w:tcW w:type="dxa" w:w="2880"/>
          </w:tcPr>
          <w:p>
            <w:r>
              <w:t>Power Query (Excel)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Revisión y organización de tablas</w:t>
            </w:r>
          </w:p>
        </w:tc>
      </w:tr>
      <w:tr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Control de versiones y pull requests</w:t>
            </w:r>
          </w:p>
        </w:tc>
      </w:tr>
    </w:tbl>
    <w:p/>
    <w:p>
      <w:pPr>
        <w:pStyle w:val="Heading1"/>
      </w:pPr>
      <w:r>
        <w:t>2. Fuentes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Fuente</w:t>
            </w:r>
          </w:p>
        </w:tc>
        <w:tc>
          <w:tcPr>
            <w:tcW w:type="dxa" w:w="2880"/>
          </w:tcPr>
          <w:p>
            <w:r>
              <w:t>Qué aporta</w:t>
            </w:r>
          </w:p>
        </w:tc>
        <w:tc>
          <w:tcPr>
            <w:tcW w:type="dxa" w:w="2880"/>
          </w:tcPr>
          <w:p>
            <w:r>
              <w:t>Frecuencia</w:t>
            </w:r>
          </w:p>
        </w:tc>
      </w:tr>
      <w:tr>
        <w:tc>
          <w:tcPr>
            <w:tcW w:type="dxa" w:w="2880"/>
          </w:tcPr>
          <w:p>
            <w:r>
              <w:t>DANE SIPSA (precios mayoristas, SOAP)</w:t>
            </w:r>
          </w:p>
        </w:tc>
        <w:tc>
          <w:tcPr>
            <w:tcW w:type="dxa" w:w="2880"/>
          </w:tcPr>
          <w:p>
            <w:r>
              <w:t>Precio $/kg por producto y mercado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DANE SIPSA semanal</w:t>
            </w:r>
          </w:p>
        </w:tc>
        <w:tc>
          <w:tcPr>
            <w:tcW w:type="dxa" w:w="2880"/>
          </w:tcPr>
          <w:p>
            <w:r>
              <w:t>Precio por artículo (variedad) y mercado, 80 mercados</w:t>
            </w:r>
          </w:p>
        </w:tc>
        <w:tc>
          <w:tcPr>
            <w:tcW w:type="dxa" w:w="2880"/>
          </w:tcPr>
          <w:p>
            <w:r>
              <w:t>Semanal</w:t>
            </w:r>
          </w:p>
        </w:tc>
      </w:tr>
      <w:tr>
        <w:tc>
          <w:tcPr>
            <w:tcW w:type="dxa" w:w="2880"/>
          </w:tcPr>
          <w:p>
            <w:r>
              <w:t>DANE SIPSA abastecimiento</w:t>
            </w:r>
          </w:p>
        </w:tc>
        <w:tc>
          <w:tcPr>
            <w:tcW w:type="dxa" w:w="2880"/>
          </w:tcPr>
          <w:p>
            <w:r>
              <w:t>Toneladas que entran a 34 centrales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NASA POWER (mensual y diario)</w:t>
            </w:r>
          </w:p>
        </w:tc>
        <w:tc>
          <w:tcPr>
            <w:tcW w:type="dxa" w:w="2880"/>
          </w:tcPr>
          <w:p>
            <w:r>
              <w:t>Lluvia y temperatura en zonas productoras</w:t>
            </w:r>
          </w:p>
        </w:tc>
        <w:tc>
          <w:tcPr>
            <w:tcW w:type="dxa" w:w="2880"/>
          </w:tcPr>
          <w:p>
            <w:r>
              <w:t>Mensual / diaria</w:t>
            </w:r>
          </w:p>
        </w:tc>
      </w:tr>
      <w:tr>
        <w:tc>
          <w:tcPr>
            <w:tcW w:type="dxa" w:w="2880"/>
          </w:tcPr>
          <w:p>
            <w:r>
              <w:t>IDEAM (datos.gov.co)</w:t>
            </w:r>
          </w:p>
        </w:tc>
        <w:tc>
          <w:tcPr>
            <w:tcW w:type="dxa" w:w="2880"/>
          </w:tcPr>
          <w:p>
            <w:r>
              <w:t>Lluvia medida por estaciones</w:t>
            </w:r>
          </w:p>
        </w:tc>
        <w:tc>
          <w:tcPr>
            <w:tcW w:type="dxa" w:w="2880"/>
          </w:tcPr>
          <w:p>
            <w:r>
              <w:t>Diaria agregada</w:t>
            </w:r>
          </w:p>
        </w:tc>
      </w:tr>
      <w:tr>
        <w:tc>
          <w:tcPr>
            <w:tcW w:type="dxa" w:w="2880"/>
          </w:tcPr>
          <w:p>
            <w:r>
              <w:t>Open-Meteo</w:t>
            </w:r>
          </w:p>
        </w:tc>
        <w:tc>
          <w:tcPr>
            <w:tcW w:type="dxa" w:w="2880"/>
          </w:tcPr>
          <w:p>
            <w:r>
              <w:t>Clima observado, pronóstico 16 días y estacional 6 meses</w:t>
            </w:r>
          </w:p>
        </w:tc>
        <w:tc>
          <w:tcPr>
            <w:tcW w:type="dxa" w:w="2880"/>
          </w:tcPr>
          <w:p>
            <w:r>
              <w:t>Diaria</w:t>
            </w:r>
          </w:p>
        </w:tc>
      </w:tr>
      <w:tr>
        <w:tc>
          <w:tcPr>
            <w:tcW w:type="dxa" w:w="2880"/>
          </w:tcPr>
          <w:p>
            <w:r>
              <w:t>NOAA ONI</w:t>
            </w:r>
          </w:p>
        </w:tc>
        <w:tc>
          <w:tcPr>
            <w:tcW w:type="dxa" w:w="2880"/>
          </w:tcPr>
          <w:p>
            <w:r>
              <w:t>Índice El Niño / La Niña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  <w:tr>
        <w:tc>
          <w:tcPr>
            <w:tcW w:type="dxa" w:w="2880"/>
          </w:tcPr>
          <w:p>
            <w:r>
              <w:t>FAOSTAT</w:t>
            </w:r>
          </w:p>
        </w:tc>
        <w:tc>
          <w:tcPr>
            <w:tcW w:type="dxa" w:w="2880"/>
          </w:tcPr>
          <w:p>
            <w:r>
              <w:t>Precios al productor (contexto internacional)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</w:tr>
      <w:tr>
        <w:tc>
          <w:tcPr>
            <w:tcW w:type="dxa" w:w="2880"/>
          </w:tcPr>
          <w:p>
            <w:r>
              <w:t>Banco Mundial Pink Sheet</w:t>
            </w:r>
          </w:p>
        </w:tc>
        <w:tc>
          <w:tcPr>
            <w:tcW w:type="dxa" w:w="2880"/>
          </w:tcPr>
          <w:p>
            <w:r>
              <w:t>Precios internacionales de materias primas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</w:tr>
    </w:tbl>
    <w:p/>
    <w:p>
      <w:pPr>
        <w:pStyle w:val="Heading1"/>
      </w:pPr>
      <w:r>
        <w:t>3. Modelo de pronóstico de precios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Regresión lineal múltiple por mínimos cuadrados ordinarios (numpy.linalg.lstsq)</w:t>
            </w:r>
          </w:p>
        </w:tc>
      </w:tr>
      <w:tr>
        <w:tc>
          <w:tcPr>
            <w:tcW w:type="dxa" w:w="4320"/>
          </w:tcPr>
          <w:p>
            <w:r>
              <w:t>Qué predice</w:t>
            </w:r>
          </w:p>
        </w:tc>
        <w:tc>
          <w:tcPr>
            <w:tcW w:type="dxa" w:w="4320"/>
          </w:tcPr>
          <w:p>
            <w:r>
              <w:t>El cambio del logaritmo del precio entre hoy y dentro de h meses (≈ cambio %)</w:t>
            </w:r>
          </w:p>
        </w:tc>
      </w:tr>
      <w:tr>
        <w:tc>
          <w:tcPr>
            <w:tcW w:type="dxa" w:w="4320"/>
          </w:tcPr>
          <w:p>
            <w:r>
              <w:t>Horizontes</w:t>
            </w:r>
          </w:p>
        </w:tc>
        <w:tc>
          <w:tcPr>
            <w:tcW w:type="dxa" w:w="4320"/>
          </w:tcPr>
          <w:p>
            <w:r>
              <w:t>1, 2 y 3 meses (meses de calendario; no cruza el hueco de 2021)</w:t>
            </w:r>
          </w:p>
        </w:tc>
      </w:tr>
      <w:tr>
        <w:tc>
          <w:tcPr>
            <w:tcW w:type="dxa" w:w="4320"/>
          </w:tcPr>
          <w:p>
            <w:r>
              <w:t>Unidad de análisis</w:t>
            </w:r>
          </w:p>
        </w:tc>
        <w:tc>
          <w:tcPr>
            <w:tcW w:type="dxa" w:w="4320"/>
          </w:tcPr>
          <w:p>
            <w:r>
              <w:t>Mediana nacional mensual del precio de cada producto (33 productos)</w:t>
            </w:r>
          </w:p>
        </w:tc>
      </w:tr>
      <w:tr>
        <w:tc>
          <w:tcPr>
            <w:tcW w:type="dxa" w:w="4320"/>
          </w:tcPr>
          <w:p>
            <w:r>
              <w:t>Variable: inercia</w:t>
            </w:r>
          </w:p>
        </w:tc>
        <w:tc>
          <w:tcPr>
            <w:tcW w:type="dxa" w:w="4320"/>
          </w:tcPr>
          <w:p>
            <w:r>
              <w:t>Cambio del precio en el último mes</w:t>
            </w:r>
          </w:p>
        </w:tc>
      </w:tr>
      <w:tr>
        <w:tc>
          <w:tcPr>
            <w:tcW w:type="dxa" w:w="4320"/>
          </w:tcPr>
          <w:p>
            <w:r>
              <w:t>Variable: El Niño</w:t>
            </w:r>
          </w:p>
        </w:tc>
        <w:tc>
          <w:tcPr>
            <w:tcW w:type="dxa" w:w="4320"/>
          </w:tcPr>
          <w:p>
            <w:r>
              <w:t>ONI del mes de origen (NOAA)</w:t>
            </w:r>
          </w:p>
        </w:tc>
      </w:tr>
      <w:tr>
        <w:tc>
          <w:tcPr>
            <w:tcW w:type="dxa" w:w="4320"/>
          </w:tcPr>
          <w:p>
            <w:r>
              <w:t>Variable: lluvia</w:t>
            </w:r>
          </w:p>
        </w:tc>
        <w:tc>
          <w:tcPr>
            <w:tcW w:type="dxa" w:w="4320"/>
          </w:tcPr>
          <w:p>
            <w:r>
              <w:t>Anomalía de lluvia del mes en la zona productora del producto</w:t>
            </w:r>
          </w:p>
        </w:tc>
      </w:tr>
      <w:tr>
        <w:tc>
          <w:tcPr>
            <w:tcW w:type="dxa" w:w="4320"/>
          </w:tcPr>
          <w:p>
            <w:r>
              <w:t>Variable: temporada</w:t>
            </w:r>
          </w:p>
        </w:tc>
        <w:tc>
          <w:tcPr>
            <w:tcW w:type="dxa" w:w="4320"/>
          </w:tcPr>
          <w:p>
            <w:r>
              <w:t>12 indicadores (dummies), uno por mes de destino</w:t>
            </w:r>
          </w:p>
        </w:tc>
      </w:tr>
      <w:tr>
        <w:tc>
          <w:tcPr>
            <w:tcW w:type="dxa" w:w="4320"/>
          </w:tcPr>
          <w:p>
            <w:r>
              <w:t>Rival ingenuo 1</w:t>
            </w:r>
          </w:p>
        </w:tc>
        <w:tc>
          <w:tcPr>
            <w:tcW w:type="dxa" w:w="4320"/>
          </w:tcPr>
          <w:p>
            <w:r>
              <w:t>Sin cambio: el precio se queda igual</w:t>
            </w:r>
          </w:p>
        </w:tc>
      </w:tr>
      <w:tr>
        <w:tc>
          <w:tcPr>
            <w:tcW w:type="dxa" w:w="4320"/>
          </w:tcPr>
          <w:p>
            <w:r>
              <w:t>Rival ingenuo 2</w:t>
            </w:r>
          </w:p>
        </w:tc>
        <w:tc>
          <w:tcPr>
            <w:tcW w:type="dxa" w:w="4320"/>
          </w:tcPr>
          <w:p>
            <w:r>
              <w:t>Estacional: cambia como cambió el año anterior entre esos mismos meses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Backtest de 24 meses con ventana creciente: en cada mes se entrena solo con lo conocido hasta ese mes</w:t>
            </w:r>
          </w:p>
        </w:tc>
      </w:tr>
      <w:tr>
        <w:tc>
          <w:tcPr>
            <w:tcW w:type="dxa" w:w="4320"/>
          </w:tcPr>
          <w:p>
            <w:r>
              <w:t>Métrica de error</w:t>
            </w:r>
          </w:p>
        </w:tc>
        <w:tc>
          <w:tcPr>
            <w:tcW w:type="dxa" w:w="4320"/>
          </w:tcPr>
          <w:p>
            <w:r>
              <w:t>MAE en %: error absoluto medio de la diferencia de logaritmos × 100</w:t>
            </w:r>
          </w:p>
        </w:tc>
      </w:tr>
      <w:tr>
        <w:tc>
          <w:tcPr>
            <w:tcW w:type="dxa" w:w="4320"/>
          </w:tcPr>
          <w:p>
            <w:r>
              <w:t>Regla de decisión</w:t>
            </w:r>
          </w:p>
        </w:tc>
        <w:tc>
          <w:tcPr>
            <w:tcW w:type="dxa" w:w="4320"/>
          </w:tcPr>
          <w:p>
            <w:r>
              <w:t>El modelo se usa solo si su MAE es al menos 5 % menor que el del mejor ingenuo; si no, se muestra el ingenuo</w:t>
            </w:r>
          </w:p>
        </w:tc>
      </w:tr>
      <w:tr>
        <w:tc>
          <w:tcPr>
            <w:tcW w:type="dxa" w:w="4320"/>
          </w:tcPr>
          <w:p>
            <w:r>
              <w:t>Banda de incertidumbre</w:t>
            </w:r>
          </w:p>
        </w:tc>
        <w:tc>
          <w:tcPr>
            <w:tcW w:type="dxa" w:w="4320"/>
          </w:tcPr>
          <w:p>
            <w:r>
              <w:t>80 %: percentiles 10 y 90 de los errores reales del backtest</w:t>
            </w:r>
          </w:p>
        </w:tc>
      </w:tr>
      <w:tr>
        <w:tc>
          <w:tcPr>
            <w:tcW w:type="dxa" w:w="4320"/>
          </w:tcPr>
          <w:p>
            <w:r>
              <w:t>Mínimo de datos</w:t>
            </w:r>
          </w:p>
        </w:tc>
        <w:tc>
          <w:tcPr>
            <w:tcW w:type="dxa" w:w="4320"/>
          </w:tcPr>
          <w:p>
            <w:r>
              <w:t>24 filas de entrenamiento para ajustar</w:t>
            </w:r>
          </w:p>
        </w:tc>
      </w:tr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src/indicators/pronostico.py → tabla pronostico_precio</w:t>
            </w:r>
          </w:p>
        </w:tc>
      </w:tr>
    </w:tbl>
    <w:p/>
    <w:p>
      <w:pPr>
        <w:pStyle w:val="Heading1"/>
      </w:pPr>
      <w:r>
        <w:t>4. Resultados del pronóstico (corrida actual)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Horizonte</w:t>
            </w:r>
          </w:p>
        </w:tc>
        <w:tc>
          <w:tcPr>
            <w:tcW w:type="dxa" w:w="1728"/>
          </w:tcPr>
          <w:p>
            <w:r>
              <w:t>Productos</w:t>
            </w:r>
          </w:p>
        </w:tc>
        <w:tc>
          <w:tcPr>
            <w:tcW w:type="dxa" w:w="1728"/>
          </w:tcPr>
          <w:p>
            <w:r>
              <w:t>El modelo gana al ingenuo</w:t>
            </w:r>
          </w:p>
        </w:tc>
        <w:tc>
          <w:tcPr>
            <w:tcW w:type="dxa" w:w="1728"/>
          </w:tcPr>
          <w:p>
            <w:r>
              <w:t>MAE mediano modelo (%)</w:t>
            </w:r>
          </w:p>
        </w:tc>
        <w:tc>
          <w:tcPr>
            <w:tcW w:type="dxa" w:w="1728"/>
          </w:tcPr>
          <w:p>
            <w:r>
              <w:t>MAE mediano ingenuo (%)</w:t>
            </w:r>
          </w:p>
        </w:tc>
      </w:tr>
      <w:tr>
        <w:tc>
          <w:tcPr>
            <w:tcW w:type="dxa" w:w="1728"/>
          </w:tcPr>
          <w:p>
            <w:r>
              <w:t>1 mes(es)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2 mes(es)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16.2</w:t>
            </w:r>
          </w:p>
        </w:tc>
        <w:tc>
          <w:tcPr>
            <w:tcW w:type="dxa" w:w="1728"/>
          </w:tcPr>
          <w:p>
            <w:r>
              <w:t>15.9</w:t>
            </w:r>
          </w:p>
        </w:tc>
      </w:tr>
      <w:tr>
        <w:tc>
          <w:tcPr>
            <w:tcW w:type="dxa" w:w="1728"/>
          </w:tcPr>
          <w:p>
            <w:r>
              <w:t>3 mes(es)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18.3</w:t>
            </w:r>
          </w:p>
        </w:tc>
      </w:tr>
    </w:tbl>
    <w:p/>
    <w:p>
      <w:r>
        <w:t>Productos donde el modelo gana a 1 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MAE modelo (%)</w:t>
            </w:r>
          </w:p>
        </w:tc>
        <w:tc>
          <w:tcPr>
            <w:tcW w:type="dxa" w:w="2880"/>
          </w:tcPr>
          <w:p>
            <w:r>
              <w:t>MAE ingenuo (%)</w:t>
            </w:r>
          </w:p>
        </w:tc>
      </w:tr>
      <w:tr>
        <w:tc>
          <w:tcPr>
            <w:tcW w:type="dxa" w:w="2880"/>
          </w:tcPr>
          <w:p>
            <w:r>
              <w:t>Papaya maradol</w:t>
            </w:r>
          </w:p>
        </w:tc>
        <w:tc>
          <w:tcPr>
            <w:tcW w:type="dxa" w:w="2880"/>
          </w:tcPr>
          <w:p>
            <w:r>
              <w:t>9.6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  <w:tr>
        <w:tc>
          <w:tcPr>
            <w:tcW w:type="dxa" w:w="2880"/>
          </w:tcPr>
          <w:p>
            <w:r>
              <w:t>Cebolla junca</w:t>
            </w:r>
          </w:p>
        </w:tc>
        <w:tc>
          <w:tcPr>
            <w:tcW w:type="dxa" w:w="2880"/>
          </w:tcPr>
          <w:p>
            <w:r>
              <w:t>9.6</w:t>
            </w:r>
          </w:p>
        </w:tc>
        <w:tc>
          <w:tcPr>
            <w:tcW w:type="dxa" w:w="2880"/>
          </w:tcPr>
          <w:p>
            <w:r>
              <w:t>11.6</w:t>
            </w:r>
          </w:p>
        </w:tc>
      </w:tr>
      <w:tr>
        <w:tc>
          <w:tcPr>
            <w:tcW w:type="dxa" w:w="2880"/>
          </w:tcPr>
          <w:p>
            <w:r>
              <w:t>Tomate de árbol</w:t>
            </w:r>
          </w:p>
        </w:tc>
        <w:tc>
          <w:tcPr>
            <w:tcW w:type="dxa" w:w="2880"/>
          </w:tcPr>
          <w:p>
            <w:r>
              <w:t>9.8</w:t>
            </w:r>
          </w:p>
        </w:tc>
        <w:tc>
          <w:tcPr>
            <w:tcW w:type="dxa" w:w="2880"/>
          </w:tcPr>
          <w:p>
            <w:r>
              <w:t>10.6</w:t>
            </w:r>
          </w:p>
        </w:tc>
      </w:tr>
      <w:tr>
        <w:tc>
          <w:tcPr>
            <w:tcW w:type="dxa" w:w="2880"/>
          </w:tcPr>
          <w:p>
            <w:r>
              <w:t>Arveja verde en vaina</w:t>
            </w:r>
          </w:p>
        </w:tc>
        <w:tc>
          <w:tcPr>
            <w:tcW w:type="dxa" w:w="2880"/>
          </w:tcPr>
          <w:p>
            <w:r>
              <w:t>10.1</w:t>
            </w:r>
          </w:p>
        </w:tc>
        <w:tc>
          <w:tcPr>
            <w:tcW w:type="dxa" w:w="2880"/>
          </w:tcPr>
          <w:p>
            <w:r>
              <w:t>11.4</w:t>
            </w:r>
          </w:p>
        </w:tc>
      </w:tr>
      <w:tr>
        <w:tc>
          <w:tcPr>
            <w:tcW w:type="dxa" w:w="2880"/>
          </w:tcPr>
          <w:p>
            <w:r>
              <w:t>Mandarina*</w:t>
            </w:r>
          </w:p>
        </w:tc>
        <w:tc>
          <w:tcPr>
            <w:tcW w:type="dxa" w:w="2880"/>
          </w:tcPr>
          <w:p>
            <w:r>
              <w:t>11.4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</w:tr>
      <w:tr>
        <w:tc>
          <w:tcPr>
            <w:tcW w:type="dxa" w:w="2880"/>
          </w:tcPr>
          <w:p>
            <w:r>
              <w:t>Remolacha</w:t>
            </w:r>
          </w:p>
        </w:tc>
        <w:tc>
          <w:tcPr>
            <w:tcW w:type="dxa" w:w="2880"/>
          </w:tcPr>
          <w:p>
            <w:r>
              <w:t>11.7</w:t>
            </w:r>
          </w:p>
        </w:tc>
        <w:tc>
          <w:tcPr>
            <w:tcW w:type="dxa" w:w="2880"/>
          </w:tcPr>
          <w:p>
            <w:r>
              <w:t>18.4</w:t>
            </w:r>
          </w:p>
        </w:tc>
      </w:tr>
      <w:tr>
        <w:tc>
          <w:tcPr>
            <w:tcW w:type="dxa" w:w="2880"/>
          </w:tcPr>
          <w:p>
            <w:r>
              <w:t>Papa criolla</w:t>
            </w:r>
          </w:p>
        </w:tc>
        <w:tc>
          <w:tcPr>
            <w:tcW w:type="dxa" w:w="2880"/>
          </w:tcPr>
          <w:p>
            <w:r>
              <w:t>14.0</w:t>
            </w:r>
          </w:p>
        </w:tc>
        <w:tc>
          <w:tcPr>
            <w:tcW w:type="dxa" w:w="2880"/>
          </w:tcPr>
          <w:p>
            <w:r>
              <w:t>15.6</w:t>
            </w:r>
          </w:p>
        </w:tc>
      </w:tr>
      <w:tr>
        <w:tc>
          <w:tcPr>
            <w:tcW w:type="dxa" w:w="2880"/>
          </w:tcPr>
          <w:p>
            <w:r>
              <w:t>Limón Común</w:t>
            </w:r>
          </w:p>
        </w:tc>
        <w:tc>
          <w:tcPr>
            <w:tcW w:type="dxa" w:w="2880"/>
          </w:tcPr>
          <w:p>
            <w:r>
              <w:t>17.0</w:t>
            </w:r>
          </w:p>
        </w:tc>
        <w:tc>
          <w:tcPr>
            <w:tcW w:type="dxa" w:w="2880"/>
          </w:tcPr>
          <w:p>
            <w:r>
              <w:t>21.8</w:t>
            </w:r>
          </w:p>
        </w:tc>
      </w:tr>
      <w:tr>
        <w:tc>
          <w:tcPr>
            <w:tcW w:type="dxa" w:w="2880"/>
          </w:tcPr>
          <w:p>
            <w:r>
              <w:t>Habichuela</w:t>
            </w:r>
          </w:p>
        </w:tc>
        <w:tc>
          <w:tcPr>
            <w:tcW w:type="dxa" w:w="2880"/>
          </w:tcPr>
          <w:p>
            <w:r>
              <w:t>17.1</w:t>
            </w:r>
          </w:p>
        </w:tc>
        <w:tc>
          <w:tcPr>
            <w:tcW w:type="dxa" w:w="2880"/>
          </w:tcPr>
          <w:p>
            <w:r>
              <w:t>18.8</w:t>
            </w:r>
          </w:p>
        </w:tc>
      </w:tr>
      <w:tr>
        <w:tc>
          <w:tcPr>
            <w:tcW w:type="dxa" w:w="2880"/>
          </w:tcPr>
          <w:p>
            <w:r>
              <w:t>Mango tommy</w:t>
            </w:r>
          </w:p>
        </w:tc>
        <w:tc>
          <w:tcPr>
            <w:tcW w:type="dxa" w:w="2880"/>
          </w:tcPr>
          <w:p>
            <w:r>
              <w:t>18.5</w:t>
            </w:r>
          </w:p>
        </w:tc>
        <w:tc>
          <w:tcPr>
            <w:tcW w:type="dxa" w:w="2880"/>
          </w:tcPr>
          <w:p>
            <w:r>
              <w:t>28.2</w:t>
            </w:r>
          </w:p>
        </w:tc>
      </w:tr>
      <w:tr>
        <w:tc>
          <w:tcPr>
            <w:tcW w:type="dxa" w:w="2880"/>
          </w:tcPr>
          <w:p>
            <w:r>
              <w:t>Limón Tahití</w:t>
            </w:r>
          </w:p>
        </w:tc>
        <w:tc>
          <w:tcPr>
            <w:tcW w:type="dxa" w:w="2880"/>
          </w:tcPr>
          <w:p>
            <w:r>
              <w:t>22.1</w:t>
            </w:r>
          </w:p>
        </w:tc>
        <w:tc>
          <w:tcPr>
            <w:tcW w:type="dxa" w:w="2880"/>
          </w:tcPr>
          <w:p>
            <w:r>
              <w:t>26.0</w:t>
            </w:r>
          </w:p>
        </w:tc>
      </w:tr>
    </w:tbl>
    <w:p/>
    <w:p>
      <w:pPr>
        <w:pStyle w:val="Heading1"/>
      </w:pPr>
      <w:r>
        <w:t>5. Otros análisis estadísticos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Análisis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Alertas de precio</w:t>
            </w:r>
          </w:p>
        </w:tc>
        <w:tc>
          <w:tcPr>
            <w:tcW w:type="dxa" w:w="2880"/>
          </w:tcPr>
          <w:p>
            <w:r>
              <w:t>Retorno logarítmico, volatilidad y z-score (semáforo)</w:t>
            </w:r>
          </w:p>
        </w:tc>
        <w:tc>
          <w:tcPr>
            <w:tcW w:type="dxa" w:w="2880"/>
          </w:tcPr>
          <w:p>
            <w:r>
              <w:t>Página Canasta / Inicio</w:t>
            </w:r>
          </w:p>
        </w:tc>
      </w:tr>
      <w:tr>
        <w:tc>
          <w:tcPr>
            <w:tcW w:type="dxa" w:w="2880"/>
          </w:tcPr>
          <w:p>
            <w:r>
              <w:t>El Niño → lluvia</w:t>
            </w:r>
          </w:p>
        </w:tc>
        <w:tc>
          <w:tcPr>
            <w:tcW w:type="dxa" w:w="2880"/>
          </w:tcPr>
          <w:p>
            <w:r>
              <w:t>Regresión OLS con rezagos de 0 a 3 meses; corrección Benjamini-Hochberg (q &lt; 0,1)</w:t>
            </w:r>
          </w:p>
        </w:tc>
        <w:tc>
          <w:tcPr>
            <w:tcW w:type="dxa" w:w="2880"/>
          </w:tcPr>
          <w:p>
            <w:r>
              <w:t>27 de 56 relaciones significativas</w:t>
            </w:r>
          </w:p>
        </w:tc>
      </w:tr>
      <w:tr>
        <w:tc>
          <w:tcPr>
            <w:tcW w:type="dxa" w:w="2880"/>
          </w:tcPr>
          <w:p>
            <w:r>
              <w:t>Lluvia → oferta (toneladas)</w:t>
            </w:r>
          </w:p>
        </w:tc>
        <w:tc>
          <w:tcPr>
            <w:tcW w:type="dxa" w:w="2880"/>
          </w:tcPr>
          <w:p>
            <w:r>
              <w:t>Regresión OLS con rezagos</w:t>
            </w:r>
          </w:p>
        </w:tc>
        <w:tc>
          <w:tcPr>
            <w:tcW w:type="dxa" w:w="2880"/>
          </w:tcPr>
          <w:p>
            <w:r>
              <w:t>0 de 24</w:t>
            </w:r>
          </w:p>
        </w:tc>
      </w:tr>
      <w:tr>
        <w:tc>
          <w:tcPr>
            <w:tcW w:type="dxa" w:w="2880"/>
          </w:tcPr>
          <w:p>
            <w:r>
              <w:t>Oferta → precio</w:t>
            </w:r>
          </w:p>
        </w:tc>
        <w:tc>
          <w:tcPr>
            <w:tcW w:type="dxa" w:w="2880"/>
          </w:tcPr>
          <w:p>
            <w:r>
              <w:t>Panel con efectos fijos por mercado</w:t>
            </w:r>
          </w:p>
        </w:tc>
        <w:tc>
          <w:tcPr>
            <w:tcW w:type="dxa" w:w="2880"/>
          </w:tcPr>
          <w:p>
            <w:r>
              <w:t>4 de 24 (p. ej. chócolo, zanahoria; elasticidad ≈ -0,05)</w:t>
            </w:r>
          </w:p>
        </w:tc>
      </w:tr>
      <w:tr>
        <w:tc>
          <w:tcPr>
            <w:tcW w:type="dxa" w:w="2880"/>
          </w:tcPr>
          <w:p>
            <w:r>
              <w:t>Lluvia → precio</w:t>
            </w:r>
          </w:p>
        </w:tc>
        <w:tc>
          <w:tcPr>
            <w:tcW w:type="dxa" w:w="2880"/>
          </w:tcPr>
          <w:p>
            <w:r>
              <w:t>Regresión OLS con rezagos</w:t>
            </w:r>
          </w:p>
        </w:tc>
        <w:tc>
          <w:tcPr>
            <w:tcW w:type="dxa" w:w="2880"/>
          </w:tcPr>
          <w:p>
            <w:r>
              <w:t>1 de 36 (tomate, Norte de Santander, rezago 3 meses)</w:t>
            </w:r>
          </w:p>
        </w:tc>
      </w:tr>
      <w:tr>
        <w:tc>
          <w:tcPr>
            <w:tcW w:type="dxa" w:w="2880"/>
          </w:tcPr>
          <w:p>
            <w:r>
              <w:t>Cambios estructurales</w:t>
            </w:r>
          </w:p>
        </w:tc>
        <w:tc>
          <w:tcPr>
            <w:tcW w:type="dxa" w:w="2880"/>
          </w:tcPr>
          <w:p>
            <w:r>
              <w:t>Prueba de Chow sobre cambios mensuales del precio relativo + Brown-Forsythe (volatilidad)</w:t>
            </w:r>
          </w:p>
        </w:tc>
        <w:tc>
          <w:tcPr>
            <w:tcW w:type="dxa" w:w="2880"/>
          </w:tcPr>
          <w:p>
            <w:r>
              <w:t>0 de 99 quiebres</w:t>
            </w:r>
          </w:p>
        </w:tc>
      </w:tr>
    </w:tbl>
    <w:p/>
    <w:p>
      <w:pPr>
        <w:pStyle w:val="Heading1"/>
      </w:pPr>
      <w:r>
        <w:t>6. Limitaciones a declarar</w:t>
      </w:r>
    </w:p>
    <w:p>
      <w:pPr>
        <w:pStyle w:val="ListBullet"/>
      </w:pPr>
      <w:r>
        <w:t>SIPSA no tiene datos entre 2021-01 y 2022-01: no se interpolan; los cambios solo se calculan entre meses consecutivos.</w:t>
      </w:r>
    </w:p>
    <w:p>
      <w:pPr>
        <w:pStyle w:val="ListBullet"/>
      </w:pPr>
      <w:r>
        <w:t>Correlación no es causalidad: los análisis de clima muestran asociaciones, no causas probadas.</w:t>
      </w:r>
    </w:p>
    <w:p>
      <w:pPr>
        <w:pStyle w:val="ListBullet"/>
      </w:pPr>
      <w:r>
        <w:t>Con 24 meses de prueba, diferencias de error menores al 5 % se consideran empate.</w:t>
      </w:r>
    </w:p>
    <w:p>
      <w:pPr>
        <w:pStyle w:val="ListBullet"/>
      </w:pPr>
      <w:r>
        <w:t>Los p-valores usan aproximación normal (sin scipy); con muestras pequeñas son aproximados.</w:t>
      </w:r>
    </w:p>
    <w:p>
      <w:pPr>
        <w:pStyle w:val="ListBullet"/>
      </w:pPr>
      <w:r>
        <w:t>El último mes está abierto y no se usa en el modelo.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