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$ORIGIN luisvir.com.  ; Establece el dominio base para los registros.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$TTL 86400  ; Tiempo de vida (TTL) por defecto para los registros (1 día).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@   IN  SOA ns1.luisvir.com. admin.luisvir.com. (  ; Define el registro SOA para el dominio.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2023120501  ; Número de serie (incrementar tras cambios).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3600    </w:t>
        <w:tab/>
        <w:t xml:space="preserve">; Refresh: Tiempo para que los secundarios consulten actualizaciones (1 hora).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1800    </w:t>
        <w:tab/>
        <w:t xml:space="preserve">; Retry: Reintento en caso de fallo (30 minutos).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1209600 </w:t>
        <w:tab/>
        <w:t xml:space="preserve">; Expire: Tiempo máximo para mantener los datos sin actualizar (2 semanas).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86400   </w:t>
        <w:tab/>
        <w:t xml:space="preserve">; TTL mínimo para los registros (1 día).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IN  NS  ns1.luisvir.com.  ; Define el servidor de nombres principal.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IN  NS  ns2.luisvir.com.  ; Define el servidor de nombres secundario.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ns1 IN  A   37.11.78.111  ; Dirección IP del servidor de nombres principal.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ns2 IN  A   1.1.1.1  ; Dirección IP del servidor de nombres secundario.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@   IN  A   37.11.78.111  ; Dirección IP principal del dominio.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