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include "/etc/bind/keys.conf";  # Incluye el archivo de claves TSIG para autenticación.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zone "luisvir.com" {  # Define la zona DNS principal.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type master;  # Especifica que este servidor es el maestro para esta zona.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file "/var/cache/bind/zones/luisvir.com.db";  # Ruta del archivo de configuración de la zona.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update-policy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grant luisvir-ddns. name luisvir.com. A NS TXT;  # Permite actualizaciones dinámicas para ciertos registros.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