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Pr="001D207D">
        <w:rPr>
          <w:noProof/>
        </w:rPr>
        <w:t>1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INTRODUCTION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Document overview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Abbreviations and 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Abbreviations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Project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Standard and regulatory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Conventions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2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States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Functionalities and Performance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Safety, security, and privacy protection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User maintenance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2.5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Usability and human-factors engineering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Man machine interface layout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Help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2.6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Regulatory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2.7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System environment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2.8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External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Network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2.8.3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Data exchange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2.9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Software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2.10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Internal data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Adaptation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Verification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Personnel and training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Packaging and installation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3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VERIFICATION METHODS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10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4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 TRACEABILITY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12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5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CRITICAL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13</w:t>
      </w:r>
      <w:r w:rsidRPr="001D207D"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37506700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37506701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37506702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37506703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37506704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37506705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37506706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37506707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1D207D" w:rsidP="001D207D">
            <w:r>
              <w:t>ISO/IEC 15504, CMMI</w:t>
            </w:r>
          </w:p>
          <w:p w:rsidR="006042C3" w:rsidRDefault="006042C3" w:rsidP="001D207D">
            <w:r>
              <w:t>ISO/IEC 9899-2011</w:t>
            </w:r>
          </w:p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37506708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1C0F4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C0F44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1C0F44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1C0F44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1C0F44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1C0F44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proofErr w:type="gramStart"/>
            <w:r w:rsidRPr="001D207D">
              <w:t xml:space="preserve">The </w:t>
            </w:r>
            <w:r w:rsidR="0006726B">
              <w:t xml:space="preserve"> set</w:t>
            </w:r>
            <w:proofErr w:type="gramEnd"/>
            <w:r w:rsidR="0006726B">
              <w:t xml:space="preserve">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1C0F44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37506709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37506710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042C3" w:rsidRDefault="002A7669" w:rsidP="001D207D">
      <w:pPr>
        <w:rPr>
          <w:lang w:val="en-US"/>
        </w:rPr>
      </w:pPr>
      <w:r w:rsidRPr="006042C3">
        <w:rPr>
          <w:lang w:val="en-US"/>
        </w:rPr>
        <w:t>FOO software works in three states: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Starting: the software loads its components;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In use: all the functionalities of the software are available to the users;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Stopping: the software is being stopped.</w:t>
      </w:r>
    </w:p>
    <w:p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Maintenance: the software is in maintenance mode</w:t>
      </w:r>
    </w:p>
    <w:p w:rsidR="006042C3" w:rsidRDefault="006042C3" w:rsidP="001D207D">
      <w:pPr>
        <w:rPr>
          <w:lang w:val="en-US"/>
        </w:rPr>
      </w:pPr>
    </w:p>
    <w:p w:rsidR="002A7669" w:rsidRDefault="006042C3" w:rsidP="001D207D">
      <w:pPr>
        <w:rPr>
          <w:lang w:val="en-US"/>
        </w:rPr>
      </w:pPr>
      <w:r>
        <w:rPr>
          <w:lang w:val="en-US"/>
        </w:rPr>
        <w:t xml:space="preserve">States and transitions. 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37506711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1C0F44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>
              <w:t>SetPoin</w:t>
            </w:r>
            <w:proofErr w:type="spellEnd"/>
          </w:p>
        </w:tc>
      </w:tr>
      <w:tr w:rsidR="00E46C4B" w:rsidRPr="001C0F44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t xml:space="preserve">HARDWARE_CONFIGURATION for the </w:t>
            </w:r>
            <w:proofErr w:type="spellStart"/>
            <w:r w:rsidRPr="00E46C4B">
              <w:t>SetPoint</w:t>
            </w:r>
            <w:proofErr w:type="spellEnd"/>
            <w:r w:rsidRPr="00E46C4B">
              <w:t xml:space="preserve"> shall be defined as designed and specified in the Integrative Project document, page 6.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Pr="005353F1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SetPoint_Adjustment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 w:rsidRPr="00E46C4B">
              <w:t>Setpoint_Adjustment</w:t>
            </w:r>
            <w:proofErr w:type="spellEnd"/>
          </w:p>
        </w:tc>
      </w:tr>
      <w:tr w:rsidR="00E46C4B" w:rsidRPr="001C0F44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 w:rsidRPr="00E46C4B">
              <w:t>Setpoint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1C0F44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C0F44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SetPoint_Reference_Value_UART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>
              <w:t>SetPoint_Reference_Value_UART</w:t>
            </w:r>
            <w:proofErr w:type="spellEnd"/>
          </w:p>
        </w:tc>
      </w:tr>
      <w:tr w:rsidR="00E46C4B" w:rsidRPr="001C0F44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1C0F44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defined at a frequency of 1Khz of duty cycle.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733932" w:rsidRDefault="00733932" w:rsidP="00570F61">
      <w:pPr>
        <w:spacing w:after="0" w:line="240" w:lineRule="auto"/>
        <w:ind w:left="2832"/>
        <w:jc w:val="both"/>
        <w:rPr>
          <w:lang w:val="en-US"/>
        </w:rPr>
      </w:pPr>
    </w:p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1C0F44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sampled with in a period of 100ms</w:t>
            </w:r>
            <w:r>
              <w:t>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1C0F44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1C0F44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1C0F44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AC30C3" w:rsidP="00BE0574">
      <w:pPr>
        <w:spacing w:after="0" w:line="240" w:lineRule="auto"/>
        <w:jc w:val="both"/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37506712"/>
      <w:proofErr w:type="spellStart"/>
      <w:r w:rsidRPr="001D207D">
        <w:t>S</w:t>
      </w:r>
      <w:bookmarkEnd w:id="36"/>
      <w:bookmarkEnd w:id="37"/>
      <w:bookmarkEnd w:id="38"/>
      <w:bookmarkEnd w:id="39"/>
      <w:bookmarkEnd w:id="40"/>
      <w:bookmarkEnd w:id="41"/>
      <w:r w:rsidR="00616C10">
        <w:t>W_Configuration</w:t>
      </w:r>
      <w:proofErr w:type="spellEnd"/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SRS-XXX-010 SAMPLE</w:t>
            </w:r>
          </w:p>
        </w:tc>
      </w:tr>
      <w:tr w:rsidR="00616C10" w:rsidRPr="001C0F44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Sample requirement about a function</w:t>
            </w:r>
          </w:p>
        </w:tc>
      </w:tr>
      <w:tr w:rsidR="00616C10" w:rsidRPr="001C0F44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software shall compute the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parameters with the a</w:t>
            </w:r>
            <w:proofErr w:type="gramStart"/>
            <w:r w:rsidRPr="001D207D">
              <w:t>, ,</w:t>
            </w:r>
            <w:proofErr w:type="gramEnd"/>
            <w:r w:rsidRPr="001D207D">
              <w:t xml:space="preserve"> c and d input parameter, with the use of the XXX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SRS-XXX-020 SAMPLE</w:t>
            </w:r>
          </w:p>
        </w:tc>
      </w:tr>
      <w:tr w:rsidR="00616C10" w:rsidRPr="001C0F44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Sample requirement about a function</w:t>
            </w:r>
          </w:p>
        </w:tc>
      </w:tr>
      <w:tr w:rsidR="00616C10" w:rsidRPr="001C0F44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>FOO software shall save the result of computations in boo-bar format.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502E41" w:rsidP="001D207D">
      <w:pPr>
        <w:pStyle w:val="Heading2"/>
      </w:pPr>
      <w:proofErr w:type="spellStart"/>
      <w:r>
        <w:t>Human_Machine_Interface</w:t>
      </w:r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2" w:name="_Toc511458453"/>
            <w:bookmarkStart w:id="43" w:name="_Toc527540674"/>
            <w:bookmarkStart w:id="44" w:name="_Toc209586378"/>
            <w:bookmarkStart w:id="45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1C0F4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6" w:name="_Toc237506717"/>
      <w:r w:rsidRPr="001D207D">
        <w:t>Regulatory requirements</w:t>
      </w:r>
      <w:bookmarkEnd w:id="4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Regulations can have an impact on software design. For example, this is the case with the future Unique Device Identification of FDA.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An about window is a good way to identify software version and provide </w:t>
      </w:r>
      <w:proofErr w:type="gramStart"/>
      <w:r w:rsidRPr="001D207D">
        <w:rPr>
          <w:highlight w:val="lightGray"/>
          <w:lang w:val="en-US"/>
        </w:rPr>
        <w:t>a</w:t>
      </w:r>
      <w:proofErr w:type="gramEnd"/>
      <w:r w:rsidRPr="001D207D">
        <w:rPr>
          <w:highlight w:val="lightGray"/>
          <w:lang w:val="en-US"/>
        </w:rPr>
        <w:t xml:space="preserve"> UDI….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SRS-XXX-070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About XXX</w:t>
            </w:r>
          </w:p>
        </w:tc>
      </w:tr>
      <w:tr w:rsidR="002A7669" w:rsidRPr="001C0F4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display an “About…” window.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 Europe the CE Mark may be somewhere in the GUI: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SRS-XXX-075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CE Mark</w:t>
            </w:r>
          </w:p>
        </w:tc>
      </w:tr>
      <w:tr w:rsidR="002A7669" w:rsidRPr="001C0F4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display the CE Mark in the “About…” window.</w:t>
            </w:r>
          </w:p>
          <w:p w:rsidR="002A7669" w:rsidRPr="001D207D" w:rsidRDefault="002A7669" w:rsidP="001D207D">
            <w:pPr>
              <w:pStyle w:val="Requirement"/>
            </w:pPr>
            <w:r w:rsidRPr="001D207D">
              <w:t>The CE Mark is displayed with the 4-digits number of the notified body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20952151"/>
      <w:bookmarkStart w:id="48" w:name="_Toc106612459"/>
      <w:bookmarkStart w:id="49" w:name="_Toc237506718"/>
      <w:bookmarkStart w:id="50" w:name="_Toc106612457"/>
      <w:r w:rsidRPr="001D207D">
        <w:t>System environment</w:t>
      </w:r>
      <w:bookmarkEnd w:id="47"/>
      <w:bookmarkEnd w:id="48"/>
      <w:bookmarkEnd w:id="49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If 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1" w:name="_Toc237506719"/>
      <w:r w:rsidRPr="001D207D">
        <w:t>External interface</w:t>
      </w:r>
      <w:bookmarkEnd w:id="42"/>
      <w:bookmarkEnd w:id="43"/>
      <w:bookmarkEnd w:id="44"/>
      <w:bookmarkEnd w:id="45"/>
      <w:bookmarkEnd w:id="50"/>
      <w:r w:rsidRPr="001D207D">
        <w:t>s</w:t>
      </w:r>
      <w:bookmarkEnd w:id="5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2" w:name="_Toc511458455"/>
      <w:bookmarkStart w:id="53" w:name="_Toc527540676"/>
      <w:bookmarkStart w:id="54" w:name="_Toc237506720"/>
      <w:r w:rsidRPr="001D207D">
        <w:t>Hardware interface</w:t>
      </w:r>
      <w:bookmarkEnd w:id="52"/>
      <w:bookmarkEnd w:id="53"/>
      <w:r w:rsidRPr="001D207D">
        <w:t>s</w:t>
      </w:r>
      <w:bookmarkEnd w:id="54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5" w:name="_Toc237506721"/>
      <w:r w:rsidRPr="001D207D">
        <w:t>Network interfaces</w:t>
      </w:r>
      <w:bookmarkEnd w:id="55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Also add here communication and networks stuff, like IP, wireless, Bluetooth …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6" w:name="_Toc237506722"/>
      <w:r w:rsidRPr="001D207D">
        <w:t>Data exchange</w:t>
      </w:r>
      <w:bookmarkEnd w:id="5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If XXX software is in interface with other software, describe here the requirements on data exchanges.</w:t>
      </w:r>
    </w:p>
    <w:p w:rsidR="002A7669" w:rsidRPr="001D207D" w:rsidRDefault="002A7669" w:rsidP="001D207D">
      <w:pPr>
        <w:pStyle w:val="Heading2"/>
      </w:pPr>
      <w:bookmarkStart w:id="57" w:name="_Toc220952150"/>
      <w:bookmarkStart w:id="58" w:name="_Toc106612458"/>
      <w:bookmarkStart w:id="59" w:name="_Toc237506723"/>
      <w:r w:rsidRPr="001D207D">
        <w:t>Resources</w:t>
      </w:r>
      <w:bookmarkEnd w:id="57"/>
      <w:bookmarkEnd w:id="58"/>
      <w:bookmarkEnd w:id="59"/>
    </w:p>
    <w:p w:rsidR="002A7669" w:rsidRPr="001D207D" w:rsidRDefault="002A7669" w:rsidP="001D207D">
      <w:pPr>
        <w:pStyle w:val="Heading3"/>
      </w:pPr>
      <w:bookmarkStart w:id="60" w:name="_Toc237506724"/>
      <w:r w:rsidRPr="001D207D">
        <w:t>Hardware resources</w:t>
      </w:r>
      <w:bookmarkEnd w:id="60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SRS-XXX-080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run with the expected response times on a PC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61" w:name="_Toc237506725"/>
      <w:r w:rsidRPr="001D207D">
        <w:t>Software resources</w:t>
      </w:r>
      <w:bookmarkEnd w:id="61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SRS-XXX-090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runs in the following software environment: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4"/>
              </w:numPr>
            </w:pPr>
            <w:r w:rsidRPr="001D207D">
              <w:t>(describe OS version),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2" w:name="_Toc220952156"/>
      <w:bookmarkStart w:id="63" w:name="_Toc106612464"/>
      <w:bookmarkStart w:id="64" w:name="_Toc237506726"/>
      <w:r w:rsidRPr="001D207D">
        <w:t>Internal data</w:t>
      </w:r>
      <w:bookmarkEnd w:id="62"/>
      <w:bookmarkEnd w:id="63"/>
      <w:bookmarkEnd w:id="64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specific requirements for internal data, like databases, binary files, xml …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It can be necessary to specify internal data if their design mitigates a risk</w:t>
      </w:r>
    </w:p>
    <w:p w:rsidR="002A7669" w:rsidRPr="001D207D" w:rsidRDefault="002A7669" w:rsidP="001D207D">
      <w:pPr>
        <w:pStyle w:val="Heading2"/>
      </w:pPr>
      <w:bookmarkStart w:id="65" w:name="_Toc220952157"/>
      <w:bookmarkStart w:id="66" w:name="_Toc106612465"/>
      <w:bookmarkStart w:id="67" w:name="_Toc237506727"/>
      <w:r w:rsidRPr="001D207D">
        <w:t>Configuration or Adaptation</w:t>
      </w:r>
      <w:bookmarkEnd w:id="65"/>
      <w:bookmarkEnd w:id="66"/>
      <w:bookmarkEnd w:id="67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If specific requirements adaptability or configuration of software</w:t>
      </w:r>
    </w:p>
    <w:p w:rsidR="002A7669" w:rsidRPr="001D207D" w:rsidRDefault="002A7669" w:rsidP="001D207D">
      <w:pPr>
        <w:pStyle w:val="Heading2"/>
      </w:pPr>
      <w:bookmarkStart w:id="68" w:name="_Toc220952154"/>
      <w:bookmarkStart w:id="69" w:name="_Toc106612462"/>
      <w:bookmarkStart w:id="70" w:name="_Toc237506728"/>
      <w:bookmarkStart w:id="71" w:name="_Toc220952159"/>
      <w:bookmarkStart w:id="72" w:name="_Toc106612467"/>
      <w:r w:rsidRPr="001D207D">
        <w:t>Verification</w:t>
      </w:r>
      <w:bookmarkEnd w:id="68"/>
      <w:bookmarkEnd w:id="69"/>
      <w:bookmarkEnd w:id="70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Special functions to test the software, if necessary. For </w:t>
      </w:r>
      <w:proofErr w:type="gramStart"/>
      <w:r w:rsidRPr="001D207D">
        <w:rPr>
          <w:highlight w:val="lightGray"/>
          <w:lang w:val="en-US"/>
        </w:rPr>
        <w:t>example</w:t>
      </w:r>
      <w:proofErr w:type="gramEnd"/>
      <w:r w:rsidRPr="001D207D">
        <w:rPr>
          <w:highlight w:val="lightGray"/>
          <w:lang w:val="en-US"/>
        </w:rPr>
        <w:t xml:space="preserve"> a hidden function to activate a log file during beta tests. But not a backdoor or a security hole!!!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73" w:name="_Toc237506729"/>
      <w:r w:rsidRPr="001D207D">
        <w:t>Personnel and training</w:t>
      </w:r>
      <w:bookmarkEnd w:id="71"/>
      <w:bookmarkEnd w:id="72"/>
      <w:bookmarkEnd w:id="7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Requirements about the capabilities/knowledge of users, the training they shall have before using software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SRS-XXX-USR-010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E-learning</w:t>
            </w:r>
          </w:p>
        </w:tc>
      </w:tr>
      <w:tr w:rsidR="002A7669" w:rsidRPr="001C0F4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is delivered with e-learning module.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74" w:name="_Toc220952160"/>
      <w:bookmarkStart w:id="75" w:name="_Toc106612468"/>
      <w:bookmarkStart w:id="76" w:name="_Toc237506730"/>
      <w:r w:rsidRPr="001D207D">
        <w:t>Packaging and installation</w:t>
      </w:r>
      <w:bookmarkEnd w:id="74"/>
      <w:bookmarkEnd w:id="75"/>
      <w:bookmarkEnd w:id="7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1C0F4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  <w:bookmarkStart w:id="77" w:name="_GoBack"/>
            <w:bookmarkEnd w:id="77"/>
          </w:p>
        </w:tc>
      </w:tr>
      <w:tr w:rsidR="002A7669" w:rsidRPr="001C0F44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8" w:name="_Toc237506731"/>
      <w:r w:rsidRPr="001D207D">
        <w:lastRenderedPageBreak/>
        <w:t>VERIFICATION METHODS</w:t>
      </w:r>
      <w:bookmarkEnd w:id="78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Discard this section if you don’t want to have verification methods attached to your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lastRenderedPageBreak/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lastRenderedPageBreak/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9" w:name="_Toc511458491"/>
      <w:bookmarkStart w:id="80" w:name="_Toc527540714"/>
      <w:bookmarkStart w:id="81" w:name="_Toc209586392"/>
      <w:bookmarkStart w:id="82" w:name="_Toc220952162"/>
      <w:bookmarkStart w:id="83" w:name="_Toc106612470"/>
      <w:bookmarkStart w:id="84" w:name="_Toc237506732"/>
      <w:r w:rsidRPr="001D207D">
        <w:lastRenderedPageBreak/>
        <w:t>REQUIREMENTS TRACEABILITY</w:t>
      </w:r>
      <w:bookmarkEnd w:id="79"/>
      <w:bookmarkEnd w:id="80"/>
      <w:bookmarkEnd w:id="81"/>
      <w:bookmarkEnd w:id="82"/>
      <w:bookmarkEnd w:id="83"/>
      <w:bookmarkEnd w:id="84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85" w:name="_Toc511458493"/>
      <w:bookmarkStart w:id="86" w:name="_Toc527540716"/>
      <w:bookmarkStart w:id="87" w:name="_Toc209586393"/>
      <w:bookmarkStart w:id="88" w:name="_Toc220952163"/>
      <w:bookmarkStart w:id="89" w:name="_Toc106612471"/>
      <w:bookmarkStart w:id="90" w:name="_Toc237506733"/>
      <w:r w:rsidRPr="001D207D">
        <w:lastRenderedPageBreak/>
        <w:t>CRITICAL REQUIREMENTS</w:t>
      </w:r>
      <w:bookmarkEnd w:id="85"/>
      <w:bookmarkEnd w:id="86"/>
      <w:bookmarkEnd w:id="87"/>
      <w:bookmarkEnd w:id="88"/>
      <w:bookmarkEnd w:id="89"/>
      <w:bookmarkEnd w:id="90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313" w:rsidRDefault="00335313">
      <w:pPr>
        <w:spacing w:after="0" w:line="240" w:lineRule="auto"/>
      </w:pPr>
      <w:r>
        <w:separator/>
      </w:r>
    </w:p>
  </w:endnote>
  <w:endnote w:type="continuationSeparator" w:id="0">
    <w:p w:rsidR="00335313" w:rsidRDefault="0033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313" w:rsidRDefault="00335313">
      <w:pPr>
        <w:spacing w:after="0" w:line="240" w:lineRule="auto"/>
      </w:pPr>
      <w:r>
        <w:separator/>
      </w:r>
    </w:p>
  </w:footnote>
  <w:footnote w:type="continuationSeparator" w:id="0">
    <w:p w:rsidR="00335313" w:rsidRDefault="0033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8901CA" w:rsidRPr="001C0F4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8901CA" w:rsidRPr="00991CDD" w:rsidRDefault="008901CA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8901CA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8901CA" w:rsidRPr="004E5B72" w:rsidRDefault="008901CA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8901CA" w:rsidRPr="00C124C4" w:rsidRDefault="008901CA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8901CA" w:rsidRPr="004E5B72" w:rsidRDefault="008901CA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8901CA" w:rsidRPr="003D38FF" w:rsidRDefault="008901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6726B"/>
    <w:rsid w:val="000C069D"/>
    <w:rsid w:val="000F1B5F"/>
    <w:rsid w:val="001616D7"/>
    <w:rsid w:val="001B74B9"/>
    <w:rsid w:val="001C0F44"/>
    <w:rsid w:val="001D1B0B"/>
    <w:rsid w:val="001D207D"/>
    <w:rsid w:val="001D4789"/>
    <w:rsid w:val="00212946"/>
    <w:rsid w:val="0023509C"/>
    <w:rsid w:val="002A7669"/>
    <w:rsid w:val="00312F6C"/>
    <w:rsid w:val="00335313"/>
    <w:rsid w:val="003F2DEE"/>
    <w:rsid w:val="00502E41"/>
    <w:rsid w:val="005353F1"/>
    <w:rsid w:val="00570F61"/>
    <w:rsid w:val="006042C3"/>
    <w:rsid w:val="00616C10"/>
    <w:rsid w:val="0066384D"/>
    <w:rsid w:val="00680296"/>
    <w:rsid w:val="006E3D12"/>
    <w:rsid w:val="00712C8D"/>
    <w:rsid w:val="00733932"/>
    <w:rsid w:val="00885B08"/>
    <w:rsid w:val="008901CA"/>
    <w:rsid w:val="009040AA"/>
    <w:rsid w:val="00991CDD"/>
    <w:rsid w:val="00A11143"/>
    <w:rsid w:val="00AB1C30"/>
    <w:rsid w:val="00AC30C3"/>
    <w:rsid w:val="00B20695"/>
    <w:rsid w:val="00B67CB2"/>
    <w:rsid w:val="00BD2BB2"/>
    <w:rsid w:val="00BE0574"/>
    <w:rsid w:val="00C02631"/>
    <w:rsid w:val="00C07908"/>
    <w:rsid w:val="00C175D9"/>
    <w:rsid w:val="00C779FE"/>
    <w:rsid w:val="00C978FA"/>
    <w:rsid w:val="00DF4CD2"/>
    <w:rsid w:val="00E46C4B"/>
    <w:rsid w:val="00E95F71"/>
    <w:rsid w:val="00EE1662"/>
    <w:rsid w:val="00F017A4"/>
    <w:rsid w:val="00F51B13"/>
    <w:rsid w:val="00F834F0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0FDD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5CF9B-377F-4BDC-B2F6-7DD717E6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17</Pages>
  <Words>2214</Words>
  <Characters>12177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12</cp:revision>
  <dcterms:created xsi:type="dcterms:W3CDTF">2019-08-30T21:48:00Z</dcterms:created>
  <dcterms:modified xsi:type="dcterms:W3CDTF">2019-09-20T05:29:00Z</dcterms:modified>
</cp:coreProperties>
</file>