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A32F3A" w:rsidRPr="00A32F3A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32F3A">
        <w:rPr>
          <w:noProof/>
        </w:rPr>
        <w:t>1</w:t>
      </w:r>
      <w:r w:rsidR="00A32F3A"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A32F3A">
        <w:rPr>
          <w:noProof/>
        </w:rPr>
        <w:t>INTRODUCTION</w:t>
      </w:r>
      <w:r w:rsidR="00A32F3A">
        <w:rPr>
          <w:noProof/>
        </w:rPr>
        <w:tab/>
      </w:r>
      <w:r w:rsidR="00A32F3A">
        <w:rPr>
          <w:noProof/>
        </w:rPr>
        <w:fldChar w:fldCharType="begin"/>
      </w:r>
      <w:r w:rsidR="00A32F3A">
        <w:rPr>
          <w:noProof/>
        </w:rPr>
        <w:instrText xml:space="preserve"> PAGEREF _Toc20495212 \h </w:instrText>
      </w:r>
      <w:r w:rsidR="00A32F3A">
        <w:rPr>
          <w:noProof/>
        </w:rPr>
      </w:r>
      <w:r w:rsidR="00A32F3A">
        <w:rPr>
          <w:noProof/>
        </w:rPr>
        <w:fldChar w:fldCharType="separate"/>
      </w:r>
      <w:r w:rsidR="00A32F3A">
        <w:rPr>
          <w:noProof/>
        </w:rPr>
        <w:t>3</w:t>
      </w:r>
      <w:r w:rsidR="00A32F3A"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2.9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0495212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0495213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0495214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0495215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0495216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0495217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0495218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0495219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1D207D" w:rsidP="001D207D">
            <w:r>
              <w:t>ISO/IEC 15504, CMMI</w:t>
            </w:r>
          </w:p>
          <w:p w:rsidR="006042C3" w:rsidRDefault="006042C3" w:rsidP="001D207D">
            <w:r>
              <w:t>ISO/IEC 9899-2011</w:t>
            </w:r>
          </w:p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0495220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B57197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B57197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B57197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B57197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B57197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B57197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B57197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0495221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0495222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0495223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B57197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</w:t>
            </w:r>
            <w:proofErr w:type="spellEnd"/>
          </w:p>
        </w:tc>
      </w:tr>
      <w:tr w:rsidR="00E46C4B" w:rsidRPr="00B57197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 xml:space="preserve">HARDWARE_CONFIGURATION for the 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  <w:r w:rsidRPr="00104E36">
              <w:rPr>
                <w:highlight w:val="cyan"/>
              </w:rPr>
              <w:t xml:space="preserve">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B57197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for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Setpoint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B57197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 shall be defined by sampling the signal at 100ms period.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B57197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B57197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values must be tested as defined in the Integrative Project design document, page 6 using the UART protocol.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Offset_ updated _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messsage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200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ms.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UART_transmition_velosity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B57197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B57197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B57197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B57197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B57197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0495224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 w:rsidR="00616C10">
        <w:t>W_Configuration</w:t>
      </w:r>
      <w:bookmarkEnd w:id="41"/>
      <w:proofErr w:type="spellEnd"/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B57197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7A50B9">
        <w:tc>
          <w:tcPr>
            <w:tcW w:w="1951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B57197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bookmarkStart w:id="42" w:name="_Toc20495225"/>
      <w:proofErr w:type="spellStart"/>
      <w:r>
        <w:t>Human_Machine_Interface</w:t>
      </w:r>
      <w:bookmarkEnd w:id="42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B57197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0495226"/>
      <w:r w:rsidRPr="001D207D">
        <w:t>Regulatory requirements</w:t>
      </w:r>
      <w:bookmarkEnd w:id="47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B57197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20952151"/>
      <w:bookmarkStart w:id="49" w:name="_Toc106612459"/>
      <w:bookmarkStart w:id="50" w:name="_Toc20495227"/>
      <w:bookmarkStart w:id="51" w:name="_Toc106612457"/>
      <w:r w:rsidRPr="001D207D">
        <w:t>System environment</w:t>
      </w:r>
      <w:bookmarkEnd w:id="48"/>
      <w:bookmarkEnd w:id="49"/>
      <w:bookmarkEnd w:id="50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2" w:name="_Toc20495228"/>
      <w:r w:rsidRPr="001D207D">
        <w:t>External interface</w:t>
      </w:r>
      <w:bookmarkEnd w:id="43"/>
      <w:bookmarkEnd w:id="44"/>
      <w:bookmarkEnd w:id="45"/>
      <w:bookmarkEnd w:id="46"/>
      <w:bookmarkEnd w:id="51"/>
      <w:r w:rsidRPr="001D207D">
        <w:t>s</w:t>
      </w:r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3" w:name="_Toc511458455"/>
      <w:bookmarkStart w:id="54" w:name="_Toc527540676"/>
      <w:bookmarkStart w:id="55" w:name="_Toc20495229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6" w:name="_Toc20495230"/>
      <w:r w:rsidRPr="001D207D">
        <w:lastRenderedPageBreak/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B57197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B57197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:  </w:t>
            </w:r>
            <w:hyperlink r:id="rId9" w:history="1">
              <w:r w:rsidR="00CF7AC2">
                <w:rPr>
                  <w:rStyle w:val="Hyperlink"/>
                </w:rPr>
                <w:t>https://www.renesas.com/jp/ja/doc/products/renesas-synergy/doc/r12um0004eu0100_synergy_sk_s7g2.pdf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0495231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B57197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  <w:bookmarkStart w:id="58" w:name="_GoBack"/>
        <w:bookmarkEnd w:id="58"/>
      </w:tr>
      <w:tr w:rsidR="002A7669" w:rsidRPr="00B57197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0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9" w:name="_Toc220952154"/>
      <w:bookmarkStart w:id="60" w:name="_Toc106612462"/>
      <w:bookmarkStart w:id="61" w:name="_Toc20495232"/>
      <w:bookmarkStart w:id="62" w:name="_Toc220952159"/>
      <w:bookmarkStart w:id="63" w:name="_Toc106612467"/>
      <w:r w:rsidRPr="001D207D">
        <w:t>Verification</w:t>
      </w:r>
      <w:bookmarkEnd w:id="59"/>
      <w:bookmarkEnd w:id="60"/>
      <w:bookmarkEnd w:id="6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Special functions to test the software, if necessary. For </w:t>
      </w:r>
      <w:r w:rsidR="00D43002" w:rsidRPr="001D207D">
        <w:rPr>
          <w:highlight w:val="lightGray"/>
          <w:lang w:val="en-US"/>
        </w:rPr>
        <w:t>example,</w:t>
      </w:r>
      <w:r w:rsidRPr="001D207D">
        <w:rPr>
          <w:highlight w:val="lightGray"/>
          <w:lang w:val="en-US"/>
        </w:rPr>
        <w:t xml:space="preserve"> a hidden function to activate a log file during beta tests. But not a backdoor or a security hole!!!</w:t>
      </w:r>
    </w:p>
    <w:bookmarkEnd w:id="62"/>
    <w:bookmarkEnd w:id="63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4" w:name="_Toc220952160"/>
      <w:bookmarkStart w:id="65" w:name="_Toc106612468"/>
      <w:bookmarkStart w:id="66" w:name="_Toc20495233"/>
      <w:r w:rsidRPr="001D207D">
        <w:t>Packaging and installation</w:t>
      </w:r>
      <w:bookmarkEnd w:id="64"/>
      <w:bookmarkEnd w:id="65"/>
      <w:bookmarkEnd w:id="6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B57197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  <w:p w:rsidR="00104E36" w:rsidRPr="001D207D" w:rsidRDefault="00104E36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B57197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7" w:name="_Toc20495234"/>
      <w:r w:rsidRPr="001D207D">
        <w:lastRenderedPageBreak/>
        <w:t>VERIFICATION METHODS</w:t>
      </w:r>
      <w:bookmarkEnd w:id="67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8" w:name="_Toc511458491"/>
      <w:bookmarkStart w:id="69" w:name="_Toc527540714"/>
      <w:bookmarkStart w:id="70" w:name="_Toc209586392"/>
      <w:bookmarkStart w:id="71" w:name="_Toc220952162"/>
      <w:bookmarkStart w:id="72" w:name="_Toc106612470"/>
      <w:bookmarkStart w:id="73" w:name="_Toc20495235"/>
      <w:r w:rsidRPr="001D207D">
        <w:lastRenderedPageBreak/>
        <w:t>REQUIREMENTS TRACEABILITY</w:t>
      </w:r>
      <w:bookmarkEnd w:id="68"/>
      <w:bookmarkEnd w:id="69"/>
      <w:bookmarkEnd w:id="70"/>
      <w:bookmarkEnd w:id="71"/>
      <w:bookmarkEnd w:id="72"/>
      <w:bookmarkEnd w:id="7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4" w:name="_Toc511458493"/>
      <w:bookmarkStart w:id="75" w:name="_Toc527540716"/>
      <w:bookmarkStart w:id="76" w:name="_Toc209586393"/>
      <w:bookmarkStart w:id="77" w:name="_Toc220952163"/>
      <w:bookmarkStart w:id="78" w:name="_Toc106612471"/>
      <w:bookmarkStart w:id="79" w:name="_Toc20495236"/>
      <w:r w:rsidRPr="001D207D">
        <w:lastRenderedPageBreak/>
        <w:t>CRITICAL REQUIREMENTS</w:t>
      </w:r>
      <w:bookmarkEnd w:id="74"/>
      <w:bookmarkEnd w:id="75"/>
      <w:bookmarkEnd w:id="76"/>
      <w:bookmarkEnd w:id="77"/>
      <w:bookmarkEnd w:id="78"/>
      <w:bookmarkEnd w:id="79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850" w:rsidRDefault="00FE0850">
      <w:pPr>
        <w:spacing w:after="0" w:line="240" w:lineRule="auto"/>
      </w:pPr>
      <w:r>
        <w:separator/>
      </w:r>
    </w:p>
  </w:endnote>
  <w:endnote w:type="continuationSeparator" w:id="0">
    <w:p w:rsidR="00FE0850" w:rsidRDefault="00FE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850" w:rsidRDefault="00FE0850">
      <w:pPr>
        <w:spacing w:after="0" w:line="240" w:lineRule="auto"/>
      </w:pPr>
      <w:r>
        <w:separator/>
      </w:r>
    </w:p>
  </w:footnote>
  <w:footnote w:type="continuationSeparator" w:id="0">
    <w:p w:rsidR="00FE0850" w:rsidRDefault="00FE0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04E36" w:rsidRPr="00B5719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104E36" w:rsidRPr="00991CDD" w:rsidRDefault="00104E36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104E36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104E36" w:rsidRPr="004E5B72" w:rsidRDefault="00104E36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104E36" w:rsidRPr="00C124C4" w:rsidRDefault="00104E36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104E36" w:rsidRPr="004E5B72" w:rsidRDefault="00104E36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104E36" w:rsidRDefault="00104E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0DC7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A04F8"/>
    <w:rsid w:val="006E3D12"/>
    <w:rsid w:val="00712C8D"/>
    <w:rsid w:val="00733932"/>
    <w:rsid w:val="00741EF6"/>
    <w:rsid w:val="007A50B9"/>
    <w:rsid w:val="0082089B"/>
    <w:rsid w:val="00832D41"/>
    <w:rsid w:val="00885B08"/>
    <w:rsid w:val="008901CA"/>
    <w:rsid w:val="008A2790"/>
    <w:rsid w:val="008B6948"/>
    <w:rsid w:val="009040AA"/>
    <w:rsid w:val="00991CDD"/>
    <w:rsid w:val="009F4263"/>
    <w:rsid w:val="00A11143"/>
    <w:rsid w:val="00A32DA5"/>
    <w:rsid w:val="00A32F3A"/>
    <w:rsid w:val="00A37AC2"/>
    <w:rsid w:val="00AB1C30"/>
    <w:rsid w:val="00AC30C3"/>
    <w:rsid w:val="00B20695"/>
    <w:rsid w:val="00B41406"/>
    <w:rsid w:val="00B57197"/>
    <w:rsid w:val="00B63C31"/>
    <w:rsid w:val="00B67CB2"/>
    <w:rsid w:val="00BD2BB2"/>
    <w:rsid w:val="00BE0574"/>
    <w:rsid w:val="00C02631"/>
    <w:rsid w:val="00C07908"/>
    <w:rsid w:val="00C175D9"/>
    <w:rsid w:val="00C779FE"/>
    <w:rsid w:val="00C9624D"/>
    <w:rsid w:val="00C978FA"/>
    <w:rsid w:val="00CF5B74"/>
    <w:rsid w:val="00CF7AC2"/>
    <w:rsid w:val="00D43002"/>
    <w:rsid w:val="00D857DF"/>
    <w:rsid w:val="00DF4CD2"/>
    <w:rsid w:val="00E23361"/>
    <w:rsid w:val="00E46C4B"/>
    <w:rsid w:val="00E95F71"/>
    <w:rsid w:val="00EE1662"/>
    <w:rsid w:val="00EE6A36"/>
    <w:rsid w:val="00F017A4"/>
    <w:rsid w:val="00F51B13"/>
    <w:rsid w:val="00F834F0"/>
    <w:rsid w:val="00FC5C88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70CA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stakeholder/Installation%20Instruc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nesas.com/jp/ja/doc/products/renesas-synergy/doc/r12um0004eu0100_synergy_sk_s7g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50996-C912-4011-BCC6-585AD2D9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17</Pages>
  <Words>2019</Words>
  <Characters>11105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24</cp:revision>
  <dcterms:created xsi:type="dcterms:W3CDTF">2019-08-30T21:48:00Z</dcterms:created>
  <dcterms:modified xsi:type="dcterms:W3CDTF">2019-09-27T22:18:00Z</dcterms:modified>
</cp:coreProperties>
</file>