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4948" w14:textId="77777777" w:rsidR="000B7810" w:rsidRPr="00A17DD1" w:rsidRDefault="000B7810" w:rsidP="004F234D">
      <w:pPr>
        <w:tabs>
          <w:tab w:val="left" w:leader="underscore" w:pos="9639"/>
        </w:tabs>
        <w:spacing w:after="0" w:line="240" w:lineRule="auto"/>
        <w:ind w:left="9639" w:hanging="9639"/>
        <w:jc w:val="center"/>
        <w:rPr>
          <w:rFonts w:ascii="Arial" w:hAnsi="Arial" w:cs="Arial"/>
          <w:sz w:val="20"/>
          <w:szCs w:val="20"/>
        </w:rPr>
      </w:pPr>
    </w:p>
    <w:p w14:paraId="507776DB" w14:textId="77777777" w:rsidR="007D1E76" w:rsidRPr="00A17DD1" w:rsidRDefault="009F3231" w:rsidP="00F067C8">
      <w:pPr>
        <w:tabs>
          <w:tab w:val="left" w:leader="underscore" w:pos="9639"/>
        </w:tabs>
        <w:spacing w:after="0" w:line="240" w:lineRule="auto"/>
        <w:jc w:val="center"/>
        <w:rPr>
          <w:rFonts w:ascii="Arial" w:hAnsi="Arial" w:cs="Arial"/>
          <w:b/>
          <w:sz w:val="20"/>
          <w:szCs w:val="20"/>
        </w:rPr>
      </w:pPr>
      <w:hyperlink r:id="rId11" w:history="1">
        <w:r w:rsidR="007D1E76" w:rsidRPr="00A17DD1">
          <w:rPr>
            <w:rStyle w:val="Hipervnculo"/>
            <w:rFonts w:ascii="Arial" w:hAnsi="Arial" w:cs="Arial"/>
            <w:b/>
            <w:sz w:val="20"/>
            <w:szCs w:val="20"/>
          </w:rPr>
          <w:t>NOTAS DE GESTIÓN ADMINISTRATIVA</w:t>
        </w:r>
      </w:hyperlink>
    </w:p>
    <w:p w14:paraId="1217A01B" w14:textId="40B1FF5C" w:rsidR="007D1E76" w:rsidRPr="00A17DD1" w:rsidRDefault="00F067C8" w:rsidP="00F067C8">
      <w:pPr>
        <w:tabs>
          <w:tab w:val="left" w:leader="underscore" w:pos="9639"/>
        </w:tabs>
        <w:spacing w:after="0" w:line="240" w:lineRule="auto"/>
        <w:jc w:val="center"/>
        <w:rPr>
          <w:rFonts w:ascii="Arial" w:hAnsi="Arial" w:cs="Arial"/>
          <w:sz w:val="20"/>
          <w:szCs w:val="20"/>
        </w:rPr>
      </w:pPr>
      <w:r w:rsidRPr="00A17DD1">
        <w:rPr>
          <w:rFonts w:ascii="Arial" w:hAnsi="Arial" w:cs="Arial"/>
          <w:sz w:val="20"/>
          <w:szCs w:val="20"/>
        </w:rPr>
        <w:t>06-12-2022</w:t>
      </w:r>
    </w:p>
    <w:p w14:paraId="2F65D88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13110D4"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Los Estados Financieros de los entes públicos, proveen de información financiera a los principales usuarios de la misma, al</w:t>
      </w:r>
      <w:r w:rsidR="00E00323" w:rsidRPr="00A17DD1">
        <w:rPr>
          <w:rFonts w:ascii="Arial" w:hAnsi="Arial" w:cs="Arial"/>
          <w:sz w:val="20"/>
          <w:szCs w:val="20"/>
        </w:rPr>
        <w:t xml:space="preserve"> Congreso y a los ciudadanos.</w:t>
      </w:r>
    </w:p>
    <w:p w14:paraId="025F880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25F26DDB" w14:textId="08E5784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El objetivo del presente documento es la revelación del contexto y de los aspectos económicos</w:t>
      </w:r>
      <w:r w:rsidR="00967DDA" w:rsidRPr="00A17DD1">
        <w:rPr>
          <w:rFonts w:ascii="Arial" w:hAnsi="Arial" w:cs="Arial"/>
          <w:sz w:val="20"/>
          <w:szCs w:val="20"/>
        </w:rPr>
        <w:t>-</w:t>
      </w:r>
      <w:r w:rsidRPr="00A17DD1">
        <w:rPr>
          <w:rFonts w:ascii="Arial" w:hAnsi="Arial" w:cs="Arial"/>
          <w:sz w:val="20"/>
          <w:szCs w:val="20"/>
        </w:rPr>
        <w:t>financieros más relevantes que influyeron en las decisiones del período, y que deberán ser considerados en la elaboración de los estados financieros para la mayor comprensión de los m</w:t>
      </w:r>
      <w:r w:rsidR="00E00323" w:rsidRPr="00A17DD1">
        <w:rPr>
          <w:rFonts w:ascii="Arial" w:hAnsi="Arial" w:cs="Arial"/>
          <w:sz w:val="20"/>
          <w:szCs w:val="20"/>
        </w:rPr>
        <w:t>ismos y sus particularidades.</w:t>
      </w:r>
    </w:p>
    <w:p w14:paraId="606D20F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59642E6" w14:textId="7AD61893"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De esta manera, </w:t>
      </w:r>
      <w:r w:rsidR="00295B72" w:rsidRPr="00A17DD1">
        <w:rPr>
          <w:rFonts w:ascii="Arial" w:hAnsi="Arial" w:cs="Arial"/>
          <w:sz w:val="20"/>
          <w:szCs w:val="20"/>
        </w:rPr>
        <w:t>se informan y explican las condiciones relacionadas con la información financiera de cada período de gestión; además, de exponer aquellas políticas que podrían afectar la toma de decisiones en períodos posteriores.</w:t>
      </w:r>
      <w:r w:rsidR="00C93C67" w:rsidRPr="00A17DD1">
        <w:rPr>
          <w:rFonts w:ascii="Arial" w:hAnsi="Arial" w:cs="Arial"/>
          <w:sz w:val="20"/>
          <w:szCs w:val="20"/>
        </w:rPr>
        <w:t xml:space="preserve"> (</w:t>
      </w:r>
      <w:r w:rsidR="00C93C67" w:rsidRPr="00A17DD1">
        <w:rPr>
          <w:rFonts w:ascii="Arial" w:hAnsi="Arial" w:cs="Arial"/>
          <w:color w:val="2F5496" w:themeColor="accent5" w:themeShade="BF"/>
          <w:sz w:val="20"/>
          <w:szCs w:val="20"/>
        </w:rPr>
        <w:t>DOF 06-12-2022</w:t>
      </w:r>
      <w:r w:rsidR="00C93C67" w:rsidRPr="00A17DD1">
        <w:rPr>
          <w:rFonts w:ascii="Arial" w:hAnsi="Arial" w:cs="Arial"/>
          <w:sz w:val="20"/>
          <w:szCs w:val="20"/>
        </w:rPr>
        <w:t>)</w:t>
      </w:r>
    </w:p>
    <w:p w14:paraId="009160FA" w14:textId="7F828C13" w:rsidR="007D1E76" w:rsidRPr="00A17DD1" w:rsidRDefault="007D1E76" w:rsidP="00CB41C4">
      <w:pPr>
        <w:pStyle w:val="Prrafodelista"/>
        <w:tabs>
          <w:tab w:val="left" w:leader="underscore" w:pos="9639"/>
        </w:tabs>
        <w:spacing w:after="0" w:line="240" w:lineRule="auto"/>
        <w:jc w:val="both"/>
        <w:rPr>
          <w:rFonts w:ascii="Arial" w:hAnsi="Arial" w:cs="Arial"/>
          <w:sz w:val="20"/>
          <w:szCs w:val="20"/>
        </w:rPr>
      </w:pPr>
    </w:p>
    <w:p w14:paraId="64420E1E" w14:textId="4E44B4A8" w:rsidR="007D1E76" w:rsidRPr="00A17DD1" w:rsidRDefault="007D1E76" w:rsidP="00CB41C4">
      <w:pPr>
        <w:pStyle w:val="Prrafodelista"/>
        <w:numPr>
          <w:ilvl w:val="0"/>
          <w:numId w:val="1"/>
        </w:num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Las notas de gestión administrativa deben contener los siguientes puntos:</w:t>
      </w:r>
    </w:p>
    <w:p w14:paraId="552470B0" w14:textId="6EC8F965" w:rsidR="007D1E76" w:rsidRPr="00A17DD1" w:rsidRDefault="007D1E76" w:rsidP="00CB41C4">
      <w:pPr>
        <w:tabs>
          <w:tab w:val="left" w:leader="underscore" w:pos="9639"/>
        </w:tabs>
        <w:spacing w:after="0" w:line="240" w:lineRule="auto"/>
        <w:jc w:val="both"/>
        <w:rPr>
          <w:rFonts w:ascii="Arial" w:hAnsi="Arial" w:cs="Arial"/>
          <w:sz w:val="20"/>
          <w:szCs w:val="20"/>
        </w:rPr>
      </w:pPr>
    </w:p>
    <w:sdt>
      <w:sdtPr>
        <w:rPr>
          <w:rFonts w:ascii="Arial" w:eastAsia="Calibri" w:hAnsi="Arial" w:cs="Arial"/>
          <w:color w:val="auto"/>
          <w:sz w:val="20"/>
          <w:szCs w:val="20"/>
          <w:lang w:val="es-ES" w:eastAsia="en-US"/>
        </w:rPr>
        <w:id w:val="-191922827"/>
        <w:docPartObj>
          <w:docPartGallery w:val="Table of Contents"/>
          <w:docPartUnique/>
        </w:docPartObj>
      </w:sdtPr>
      <w:sdtEndPr>
        <w:rPr>
          <w:b/>
          <w:bCs/>
        </w:rPr>
      </w:sdtEndPr>
      <w:sdtContent>
        <w:p w14:paraId="68C75D59" w14:textId="5B2ECB74" w:rsidR="00F46719" w:rsidRPr="00A17DD1" w:rsidRDefault="00F46719">
          <w:pPr>
            <w:pStyle w:val="TtuloTDC"/>
            <w:rPr>
              <w:rFonts w:ascii="Arial" w:hAnsi="Arial" w:cs="Arial"/>
              <w:sz w:val="20"/>
              <w:szCs w:val="20"/>
              <w:lang w:val="es-ES"/>
            </w:rPr>
          </w:pPr>
          <w:r w:rsidRPr="00A17DD1">
            <w:rPr>
              <w:rFonts w:ascii="Arial" w:hAnsi="Arial" w:cs="Arial"/>
              <w:sz w:val="20"/>
              <w:szCs w:val="20"/>
              <w:lang w:val="es-ES"/>
            </w:rPr>
            <w:t>Contenido</w:t>
          </w:r>
        </w:p>
        <w:p w14:paraId="6FC310E2" w14:textId="77777777" w:rsidR="00516100" w:rsidRPr="00A17DD1" w:rsidRDefault="00516100" w:rsidP="00516100">
          <w:pPr>
            <w:rPr>
              <w:rFonts w:ascii="Arial" w:hAnsi="Arial" w:cs="Arial"/>
              <w:sz w:val="20"/>
              <w:szCs w:val="20"/>
              <w:lang w:val="es-ES" w:eastAsia="es-MX"/>
            </w:rPr>
          </w:pPr>
        </w:p>
        <w:p w14:paraId="1A37D15B" w14:textId="7FBE5668" w:rsidR="005F51CC" w:rsidRPr="00A17DD1" w:rsidRDefault="00F46719">
          <w:pPr>
            <w:pStyle w:val="TDC2"/>
            <w:tabs>
              <w:tab w:val="right" w:leader="dot" w:pos="9678"/>
            </w:tabs>
            <w:rPr>
              <w:rFonts w:ascii="Arial" w:eastAsiaTheme="minorEastAsia" w:hAnsi="Arial" w:cs="Arial"/>
              <w:noProof/>
              <w:kern w:val="2"/>
              <w:sz w:val="20"/>
              <w:szCs w:val="20"/>
              <w:lang w:eastAsia="es-MX"/>
              <w14:ligatures w14:val="standardContextual"/>
            </w:rPr>
          </w:pPr>
          <w:r w:rsidRPr="00A17DD1">
            <w:rPr>
              <w:rFonts w:ascii="Arial" w:hAnsi="Arial" w:cs="Arial"/>
              <w:sz w:val="20"/>
              <w:szCs w:val="20"/>
            </w:rPr>
            <w:fldChar w:fldCharType="begin"/>
          </w:r>
          <w:r w:rsidRPr="00A17DD1">
            <w:rPr>
              <w:rFonts w:ascii="Arial" w:hAnsi="Arial" w:cs="Arial"/>
              <w:sz w:val="20"/>
              <w:szCs w:val="20"/>
            </w:rPr>
            <w:instrText xml:space="preserve"> TOC \o "1-3" \h \z \u </w:instrText>
          </w:r>
          <w:r w:rsidRPr="00A17DD1">
            <w:rPr>
              <w:rFonts w:ascii="Arial" w:hAnsi="Arial" w:cs="Arial"/>
              <w:sz w:val="20"/>
              <w:szCs w:val="20"/>
            </w:rPr>
            <w:fldChar w:fldCharType="separate"/>
          </w:r>
          <w:hyperlink w:anchor="_Toc161472866" w:history="1">
            <w:r w:rsidR="005F51CC" w:rsidRPr="00A17DD1">
              <w:rPr>
                <w:rStyle w:val="Hipervnculo"/>
                <w:rFonts w:ascii="Arial" w:hAnsi="Arial" w:cs="Arial"/>
                <w:b/>
                <w:noProof/>
                <w:sz w:val="20"/>
                <w:szCs w:val="20"/>
              </w:rPr>
              <w:t>1. Autorización e Historia:</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_Toc161472866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2</w:t>
            </w:r>
            <w:r w:rsidR="005F51CC" w:rsidRPr="00A17DD1">
              <w:rPr>
                <w:rFonts w:ascii="Arial" w:hAnsi="Arial" w:cs="Arial"/>
                <w:noProof/>
                <w:webHidden/>
                <w:sz w:val="20"/>
                <w:szCs w:val="20"/>
              </w:rPr>
              <w:fldChar w:fldCharType="end"/>
            </w:r>
          </w:hyperlink>
        </w:p>
        <w:p w14:paraId="6A6756CA" w14:textId="30654454" w:rsidR="005F51CC" w:rsidRPr="00A17DD1" w:rsidRDefault="009F3231">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67" w:history="1">
            <w:r w:rsidR="005F51CC" w:rsidRPr="00A17DD1">
              <w:rPr>
                <w:rStyle w:val="Hipervnculo"/>
                <w:rFonts w:ascii="Arial" w:hAnsi="Arial" w:cs="Arial"/>
                <w:b/>
                <w:noProof/>
                <w:sz w:val="20"/>
                <w:szCs w:val="20"/>
              </w:rPr>
              <w:t>2. Panorama Económico y Financiero</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_Toc161472867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2</w:t>
            </w:r>
            <w:r w:rsidR="005F51CC" w:rsidRPr="00A17DD1">
              <w:rPr>
                <w:rFonts w:ascii="Arial" w:hAnsi="Arial" w:cs="Arial"/>
                <w:noProof/>
                <w:webHidden/>
                <w:sz w:val="20"/>
                <w:szCs w:val="20"/>
              </w:rPr>
              <w:fldChar w:fldCharType="end"/>
            </w:r>
          </w:hyperlink>
        </w:p>
        <w:p w14:paraId="19796F35" w14:textId="657467E3" w:rsidR="005F51CC" w:rsidRPr="00A17DD1" w:rsidRDefault="009F3231">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68" w:history="1">
            <w:r w:rsidR="005F51CC" w:rsidRPr="00A17DD1">
              <w:rPr>
                <w:rStyle w:val="Hipervnculo"/>
                <w:rFonts w:ascii="Arial" w:hAnsi="Arial" w:cs="Arial"/>
                <w:b/>
                <w:noProof/>
                <w:sz w:val="20"/>
                <w:szCs w:val="20"/>
              </w:rPr>
              <w:t>3. Organización y Objeto Social:</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_Toc161472868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3</w:t>
            </w:r>
            <w:r w:rsidR="005F51CC" w:rsidRPr="00A17DD1">
              <w:rPr>
                <w:rFonts w:ascii="Arial" w:hAnsi="Arial" w:cs="Arial"/>
                <w:noProof/>
                <w:webHidden/>
                <w:sz w:val="20"/>
                <w:szCs w:val="20"/>
              </w:rPr>
              <w:fldChar w:fldCharType="end"/>
            </w:r>
          </w:hyperlink>
        </w:p>
        <w:p w14:paraId="62AC0657" w14:textId="2B9336E4" w:rsidR="005F51CC" w:rsidRPr="00A17DD1" w:rsidRDefault="009F3231">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69" w:history="1">
            <w:r w:rsidR="005F51CC" w:rsidRPr="00A17DD1">
              <w:rPr>
                <w:rStyle w:val="Hipervnculo"/>
                <w:rFonts w:ascii="Arial" w:hAnsi="Arial" w:cs="Arial"/>
                <w:b/>
                <w:noProof/>
                <w:sz w:val="20"/>
                <w:szCs w:val="20"/>
              </w:rPr>
              <w:t>4. Bases de Preparación de los Estados Financieros: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_Toc161472869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4</w:t>
            </w:r>
            <w:r w:rsidR="005F51CC" w:rsidRPr="00A17DD1">
              <w:rPr>
                <w:rFonts w:ascii="Arial" w:hAnsi="Arial" w:cs="Arial"/>
                <w:noProof/>
                <w:webHidden/>
                <w:sz w:val="20"/>
                <w:szCs w:val="20"/>
              </w:rPr>
              <w:fldChar w:fldCharType="end"/>
            </w:r>
          </w:hyperlink>
        </w:p>
        <w:p w14:paraId="7C7C1962" w14:textId="2AF973E9" w:rsidR="005F51CC" w:rsidRPr="00A17DD1" w:rsidRDefault="009F3231">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0" w:history="1">
            <w:r w:rsidR="005F51CC" w:rsidRPr="00A17DD1">
              <w:rPr>
                <w:rStyle w:val="Hipervnculo"/>
                <w:rFonts w:ascii="Arial" w:hAnsi="Arial" w:cs="Arial"/>
                <w:b/>
                <w:noProof/>
                <w:sz w:val="20"/>
                <w:szCs w:val="20"/>
              </w:rPr>
              <w:t>5. Políticas de Contabilidad Significativas: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_Toc161472870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5</w:t>
            </w:r>
            <w:r w:rsidR="005F51CC" w:rsidRPr="00A17DD1">
              <w:rPr>
                <w:rFonts w:ascii="Arial" w:hAnsi="Arial" w:cs="Arial"/>
                <w:noProof/>
                <w:webHidden/>
                <w:sz w:val="20"/>
                <w:szCs w:val="20"/>
              </w:rPr>
              <w:fldChar w:fldCharType="end"/>
            </w:r>
          </w:hyperlink>
        </w:p>
        <w:p w14:paraId="3FE6C661" w14:textId="3C54BF14" w:rsidR="005F51CC" w:rsidRPr="00A17DD1" w:rsidRDefault="009F3231">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1" w:history="1">
            <w:r w:rsidR="005F51CC" w:rsidRPr="00A17DD1">
              <w:rPr>
                <w:rStyle w:val="Hipervnculo"/>
                <w:rFonts w:ascii="Arial" w:hAnsi="Arial" w:cs="Arial"/>
                <w:b/>
                <w:noProof/>
                <w:sz w:val="20"/>
                <w:szCs w:val="20"/>
              </w:rPr>
              <w:t>6. Posición en Moneda Extranjera y Protección por Riesgo Cambiario:</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_Toc161472871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7</w:t>
            </w:r>
            <w:r w:rsidR="005F51CC" w:rsidRPr="00A17DD1">
              <w:rPr>
                <w:rFonts w:ascii="Arial" w:hAnsi="Arial" w:cs="Arial"/>
                <w:noProof/>
                <w:webHidden/>
                <w:sz w:val="20"/>
                <w:szCs w:val="20"/>
              </w:rPr>
              <w:fldChar w:fldCharType="end"/>
            </w:r>
          </w:hyperlink>
        </w:p>
        <w:p w14:paraId="135541CC" w14:textId="5BC55951" w:rsidR="005F51CC" w:rsidRPr="00A17DD1" w:rsidRDefault="009F3231">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2" w:history="1">
            <w:r w:rsidR="005F51CC" w:rsidRPr="00A17DD1">
              <w:rPr>
                <w:rStyle w:val="Hipervnculo"/>
                <w:rFonts w:ascii="Arial" w:hAnsi="Arial" w:cs="Arial"/>
                <w:b/>
                <w:noProof/>
                <w:sz w:val="20"/>
                <w:szCs w:val="20"/>
              </w:rPr>
              <w:t>7. Reporte Analítico del Activo:</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_Toc161472872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7</w:t>
            </w:r>
            <w:r w:rsidR="005F51CC" w:rsidRPr="00A17DD1">
              <w:rPr>
                <w:rFonts w:ascii="Arial" w:hAnsi="Arial" w:cs="Arial"/>
                <w:noProof/>
                <w:webHidden/>
                <w:sz w:val="20"/>
                <w:szCs w:val="20"/>
              </w:rPr>
              <w:fldChar w:fldCharType="end"/>
            </w:r>
          </w:hyperlink>
        </w:p>
        <w:p w14:paraId="48C9D852" w14:textId="478B287B" w:rsidR="005F51CC" w:rsidRPr="00A17DD1" w:rsidRDefault="009F3231">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3" w:history="1">
            <w:r w:rsidR="005F51CC" w:rsidRPr="00A17DD1">
              <w:rPr>
                <w:rStyle w:val="Hipervnculo"/>
                <w:rFonts w:ascii="Arial" w:hAnsi="Arial" w:cs="Arial"/>
                <w:b/>
                <w:noProof/>
                <w:sz w:val="20"/>
                <w:szCs w:val="20"/>
              </w:rPr>
              <w:t>8. Fideicomisos, Mandatos y Análogos: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_Toc161472873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8</w:t>
            </w:r>
            <w:r w:rsidR="005F51CC" w:rsidRPr="00A17DD1">
              <w:rPr>
                <w:rFonts w:ascii="Arial" w:hAnsi="Arial" w:cs="Arial"/>
                <w:noProof/>
                <w:webHidden/>
                <w:sz w:val="20"/>
                <w:szCs w:val="20"/>
              </w:rPr>
              <w:fldChar w:fldCharType="end"/>
            </w:r>
          </w:hyperlink>
        </w:p>
        <w:p w14:paraId="027C97E3" w14:textId="24B8D00D" w:rsidR="005F51CC" w:rsidRPr="00A17DD1" w:rsidRDefault="009F3231">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4" w:history="1">
            <w:r w:rsidR="005F51CC" w:rsidRPr="00A17DD1">
              <w:rPr>
                <w:rStyle w:val="Hipervnculo"/>
                <w:rFonts w:ascii="Arial" w:hAnsi="Arial" w:cs="Arial"/>
                <w:b/>
                <w:noProof/>
                <w:sz w:val="20"/>
                <w:szCs w:val="20"/>
              </w:rPr>
              <w:t>9. Reporte de la Recaudación:</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_Toc161472874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9</w:t>
            </w:r>
            <w:r w:rsidR="005F51CC" w:rsidRPr="00A17DD1">
              <w:rPr>
                <w:rFonts w:ascii="Arial" w:hAnsi="Arial" w:cs="Arial"/>
                <w:noProof/>
                <w:webHidden/>
                <w:sz w:val="20"/>
                <w:szCs w:val="20"/>
              </w:rPr>
              <w:fldChar w:fldCharType="end"/>
            </w:r>
          </w:hyperlink>
        </w:p>
        <w:p w14:paraId="00DB87A1" w14:textId="4E6D40B8" w:rsidR="005F51CC" w:rsidRPr="00A17DD1" w:rsidRDefault="009F3231">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5" w:history="1">
            <w:r w:rsidR="005F51CC" w:rsidRPr="00A17DD1">
              <w:rPr>
                <w:rStyle w:val="Hipervnculo"/>
                <w:rFonts w:ascii="Arial" w:hAnsi="Arial" w:cs="Arial"/>
                <w:b/>
                <w:noProof/>
                <w:sz w:val="20"/>
                <w:szCs w:val="20"/>
              </w:rPr>
              <w:t>10. Información sobre la Deuda y el Reporte Analítico de la Deuda:</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_Toc161472875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10</w:t>
            </w:r>
            <w:r w:rsidR="005F51CC" w:rsidRPr="00A17DD1">
              <w:rPr>
                <w:rFonts w:ascii="Arial" w:hAnsi="Arial" w:cs="Arial"/>
                <w:noProof/>
                <w:webHidden/>
                <w:sz w:val="20"/>
                <w:szCs w:val="20"/>
              </w:rPr>
              <w:fldChar w:fldCharType="end"/>
            </w:r>
          </w:hyperlink>
        </w:p>
        <w:p w14:paraId="00EEECC2" w14:textId="3435EA37" w:rsidR="005F51CC" w:rsidRPr="00A17DD1" w:rsidRDefault="009F3231">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6" w:history="1">
            <w:r w:rsidR="005F51CC" w:rsidRPr="00A17DD1">
              <w:rPr>
                <w:rStyle w:val="Hipervnculo"/>
                <w:rFonts w:ascii="Arial" w:hAnsi="Arial" w:cs="Arial"/>
                <w:b/>
                <w:noProof/>
                <w:sz w:val="20"/>
                <w:szCs w:val="20"/>
              </w:rPr>
              <w:t>11. Calificaciones otorgadas: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_Toc161472876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10</w:t>
            </w:r>
            <w:r w:rsidR="005F51CC" w:rsidRPr="00A17DD1">
              <w:rPr>
                <w:rFonts w:ascii="Arial" w:hAnsi="Arial" w:cs="Arial"/>
                <w:noProof/>
                <w:webHidden/>
                <w:sz w:val="20"/>
                <w:szCs w:val="20"/>
              </w:rPr>
              <w:fldChar w:fldCharType="end"/>
            </w:r>
          </w:hyperlink>
        </w:p>
        <w:p w14:paraId="68FD7A9A" w14:textId="05AC124B" w:rsidR="005F51CC" w:rsidRPr="00A17DD1" w:rsidRDefault="009F3231">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7" w:history="1">
            <w:r w:rsidR="005F51CC" w:rsidRPr="00A17DD1">
              <w:rPr>
                <w:rStyle w:val="Hipervnculo"/>
                <w:rFonts w:ascii="Arial" w:hAnsi="Arial" w:cs="Arial"/>
                <w:b/>
                <w:noProof/>
                <w:sz w:val="20"/>
                <w:szCs w:val="20"/>
              </w:rPr>
              <w:t>12. Proceso de Mejora:</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_Toc161472877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10</w:t>
            </w:r>
            <w:r w:rsidR="005F51CC" w:rsidRPr="00A17DD1">
              <w:rPr>
                <w:rFonts w:ascii="Arial" w:hAnsi="Arial" w:cs="Arial"/>
                <w:noProof/>
                <w:webHidden/>
                <w:sz w:val="20"/>
                <w:szCs w:val="20"/>
              </w:rPr>
              <w:fldChar w:fldCharType="end"/>
            </w:r>
          </w:hyperlink>
        </w:p>
        <w:p w14:paraId="5F55527F" w14:textId="622FD59E" w:rsidR="005F51CC" w:rsidRPr="00A17DD1" w:rsidRDefault="009F3231">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8" w:history="1">
            <w:r w:rsidR="005F51CC" w:rsidRPr="00A17DD1">
              <w:rPr>
                <w:rStyle w:val="Hipervnculo"/>
                <w:rFonts w:ascii="Arial" w:hAnsi="Arial" w:cs="Arial"/>
                <w:b/>
                <w:noProof/>
                <w:sz w:val="20"/>
                <w:szCs w:val="20"/>
              </w:rPr>
              <w:t>13. Información por Segmentos: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_Toc161472878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10</w:t>
            </w:r>
            <w:r w:rsidR="005F51CC" w:rsidRPr="00A17DD1">
              <w:rPr>
                <w:rFonts w:ascii="Arial" w:hAnsi="Arial" w:cs="Arial"/>
                <w:noProof/>
                <w:webHidden/>
                <w:sz w:val="20"/>
                <w:szCs w:val="20"/>
              </w:rPr>
              <w:fldChar w:fldCharType="end"/>
            </w:r>
          </w:hyperlink>
        </w:p>
        <w:p w14:paraId="674ABB69" w14:textId="7AFEE33A" w:rsidR="005F51CC" w:rsidRPr="00A17DD1" w:rsidRDefault="009F3231">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79" w:history="1">
            <w:r w:rsidR="005F51CC" w:rsidRPr="00A17DD1">
              <w:rPr>
                <w:rStyle w:val="Hipervnculo"/>
                <w:rFonts w:ascii="Arial" w:hAnsi="Arial" w:cs="Arial"/>
                <w:b/>
                <w:noProof/>
                <w:sz w:val="20"/>
                <w:szCs w:val="20"/>
              </w:rPr>
              <w:t>14. Eventos Posteriores al Cierre:</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_Toc161472879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11</w:t>
            </w:r>
            <w:r w:rsidR="005F51CC" w:rsidRPr="00A17DD1">
              <w:rPr>
                <w:rFonts w:ascii="Arial" w:hAnsi="Arial" w:cs="Arial"/>
                <w:noProof/>
                <w:webHidden/>
                <w:sz w:val="20"/>
                <w:szCs w:val="20"/>
              </w:rPr>
              <w:fldChar w:fldCharType="end"/>
            </w:r>
          </w:hyperlink>
        </w:p>
        <w:p w14:paraId="39048CDA" w14:textId="26F4D7EE" w:rsidR="005F51CC" w:rsidRPr="00A17DD1" w:rsidRDefault="009F3231">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80" w:history="1">
            <w:r w:rsidR="005F51CC" w:rsidRPr="00A17DD1">
              <w:rPr>
                <w:rStyle w:val="Hipervnculo"/>
                <w:rFonts w:ascii="Arial" w:hAnsi="Arial" w:cs="Arial"/>
                <w:b/>
                <w:noProof/>
                <w:sz w:val="20"/>
                <w:szCs w:val="20"/>
              </w:rPr>
              <w:t>15. Partes Relacionadas:</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_Toc161472880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11</w:t>
            </w:r>
            <w:r w:rsidR="005F51CC" w:rsidRPr="00A17DD1">
              <w:rPr>
                <w:rFonts w:ascii="Arial" w:hAnsi="Arial" w:cs="Arial"/>
                <w:noProof/>
                <w:webHidden/>
                <w:sz w:val="20"/>
                <w:szCs w:val="20"/>
              </w:rPr>
              <w:fldChar w:fldCharType="end"/>
            </w:r>
          </w:hyperlink>
        </w:p>
        <w:p w14:paraId="7E9C5BA3" w14:textId="557E6B64" w:rsidR="005F51CC" w:rsidRPr="00A17DD1" w:rsidRDefault="009F3231">
          <w:pPr>
            <w:pStyle w:val="TDC2"/>
            <w:tabs>
              <w:tab w:val="right" w:leader="dot" w:pos="9678"/>
            </w:tabs>
            <w:rPr>
              <w:rFonts w:ascii="Arial" w:eastAsiaTheme="minorEastAsia" w:hAnsi="Arial" w:cs="Arial"/>
              <w:noProof/>
              <w:kern w:val="2"/>
              <w:sz w:val="20"/>
              <w:szCs w:val="20"/>
              <w:lang w:eastAsia="es-MX"/>
              <w14:ligatures w14:val="standardContextual"/>
            </w:rPr>
          </w:pPr>
          <w:hyperlink w:anchor="_Toc161472881" w:history="1">
            <w:r w:rsidR="005F51CC" w:rsidRPr="00A17DD1">
              <w:rPr>
                <w:rStyle w:val="Hipervnculo"/>
                <w:rFonts w:ascii="Arial" w:hAnsi="Arial" w:cs="Arial"/>
                <w:b/>
                <w:noProof/>
                <w:sz w:val="20"/>
                <w:szCs w:val="20"/>
              </w:rPr>
              <w:t>16. Responsabilidad Sobre la Presentación Razonable de la Información Contable:</w:t>
            </w:r>
            <w:r w:rsidR="005F51CC" w:rsidRPr="00A17DD1">
              <w:rPr>
                <w:rFonts w:ascii="Arial" w:hAnsi="Arial" w:cs="Arial"/>
                <w:noProof/>
                <w:webHidden/>
                <w:sz w:val="20"/>
                <w:szCs w:val="20"/>
              </w:rPr>
              <w:tab/>
            </w:r>
            <w:r w:rsidR="005F51CC" w:rsidRPr="00A17DD1">
              <w:rPr>
                <w:rFonts w:ascii="Arial" w:hAnsi="Arial" w:cs="Arial"/>
                <w:noProof/>
                <w:webHidden/>
                <w:sz w:val="20"/>
                <w:szCs w:val="20"/>
              </w:rPr>
              <w:fldChar w:fldCharType="begin"/>
            </w:r>
            <w:r w:rsidR="005F51CC" w:rsidRPr="00A17DD1">
              <w:rPr>
                <w:rFonts w:ascii="Arial" w:hAnsi="Arial" w:cs="Arial"/>
                <w:noProof/>
                <w:webHidden/>
                <w:sz w:val="20"/>
                <w:szCs w:val="20"/>
              </w:rPr>
              <w:instrText xml:space="preserve"> PAGEREF _Toc161472881 \h </w:instrText>
            </w:r>
            <w:r w:rsidR="005F51CC" w:rsidRPr="00A17DD1">
              <w:rPr>
                <w:rFonts w:ascii="Arial" w:hAnsi="Arial" w:cs="Arial"/>
                <w:noProof/>
                <w:webHidden/>
                <w:sz w:val="20"/>
                <w:szCs w:val="20"/>
              </w:rPr>
            </w:r>
            <w:r w:rsidR="005F51CC" w:rsidRPr="00A17DD1">
              <w:rPr>
                <w:rFonts w:ascii="Arial" w:hAnsi="Arial" w:cs="Arial"/>
                <w:noProof/>
                <w:webHidden/>
                <w:sz w:val="20"/>
                <w:szCs w:val="20"/>
              </w:rPr>
              <w:fldChar w:fldCharType="separate"/>
            </w:r>
            <w:r w:rsidR="00604A31">
              <w:rPr>
                <w:rFonts w:ascii="Arial" w:hAnsi="Arial" w:cs="Arial"/>
                <w:noProof/>
                <w:webHidden/>
                <w:sz w:val="20"/>
                <w:szCs w:val="20"/>
              </w:rPr>
              <w:t>11</w:t>
            </w:r>
            <w:r w:rsidR="005F51CC" w:rsidRPr="00A17DD1">
              <w:rPr>
                <w:rFonts w:ascii="Arial" w:hAnsi="Arial" w:cs="Arial"/>
                <w:noProof/>
                <w:webHidden/>
                <w:sz w:val="20"/>
                <w:szCs w:val="20"/>
              </w:rPr>
              <w:fldChar w:fldCharType="end"/>
            </w:r>
          </w:hyperlink>
        </w:p>
        <w:p w14:paraId="43551857" w14:textId="4F747141" w:rsidR="00F46719" w:rsidRPr="00A17DD1" w:rsidRDefault="00F46719">
          <w:pPr>
            <w:rPr>
              <w:rFonts w:ascii="Arial" w:hAnsi="Arial" w:cs="Arial"/>
              <w:sz w:val="20"/>
              <w:szCs w:val="20"/>
            </w:rPr>
          </w:pPr>
          <w:r w:rsidRPr="00A17DD1">
            <w:rPr>
              <w:rFonts w:ascii="Arial" w:hAnsi="Arial" w:cs="Arial"/>
              <w:b/>
              <w:bCs/>
              <w:sz w:val="20"/>
              <w:szCs w:val="20"/>
              <w:lang w:val="es-ES"/>
            </w:rPr>
            <w:fldChar w:fldCharType="end"/>
          </w:r>
        </w:p>
      </w:sdtContent>
    </w:sdt>
    <w:p w14:paraId="7203E26E" w14:textId="32555DDD" w:rsidR="007D1E76" w:rsidRDefault="007D1E76" w:rsidP="00CB41C4">
      <w:pPr>
        <w:tabs>
          <w:tab w:val="left" w:leader="underscore" w:pos="9639"/>
        </w:tabs>
        <w:spacing w:after="0" w:line="240" w:lineRule="auto"/>
        <w:jc w:val="both"/>
        <w:rPr>
          <w:rFonts w:ascii="Arial" w:hAnsi="Arial" w:cs="Arial"/>
          <w:sz w:val="20"/>
          <w:szCs w:val="20"/>
        </w:rPr>
      </w:pPr>
    </w:p>
    <w:p w14:paraId="0FFEB0DE" w14:textId="38D3F65C" w:rsidR="00A17DD1" w:rsidRDefault="00A17DD1" w:rsidP="00CB41C4">
      <w:pPr>
        <w:tabs>
          <w:tab w:val="left" w:leader="underscore" w:pos="9639"/>
        </w:tabs>
        <w:spacing w:after="0" w:line="240" w:lineRule="auto"/>
        <w:jc w:val="both"/>
        <w:rPr>
          <w:rFonts w:ascii="Arial" w:hAnsi="Arial" w:cs="Arial"/>
          <w:sz w:val="20"/>
          <w:szCs w:val="20"/>
        </w:rPr>
      </w:pPr>
    </w:p>
    <w:p w14:paraId="369F0CBA" w14:textId="0EB8053A" w:rsidR="00A17DD1" w:rsidRDefault="00A17DD1" w:rsidP="00CB41C4">
      <w:pPr>
        <w:tabs>
          <w:tab w:val="left" w:leader="underscore" w:pos="9639"/>
        </w:tabs>
        <w:spacing w:after="0" w:line="240" w:lineRule="auto"/>
        <w:jc w:val="both"/>
        <w:rPr>
          <w:rFonts w:ascii="Arial" w:hAnsi="Arial" w:cs="Arial"/>
          <w:sz w:val="20"/>
          <w:szCs w:val="20"/>
        </w:rPr>
      </w:pPr>
    </w:p>
    <w:p w14:paraId="44AD4AC0"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3285DC0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4575967" w14:textId="09BF8276" w:rsidR="007D1E76" w:rsidRPr="00A17DD1" w:rsidRDefault="007E38A2" w:rsidP="000C3365">
      <w:pPr>
        <w:pStyle w:val="Ttulo2"/>
        <w:rPr>
          <w:rFonts w:ascii="Arial" w:hAnsi="Arial" w:cs="Arial"/>
          <w:b/>
          <w:color w:val="auto"/>
          <w:sz w:val="20"/>
          <w:szCs w:val="20"/>
        </w:rPr>
      </w:pPr>
      <w:bookmarkStart w:id="0" w:name="_Toc161472866"/>
      <w:r w:rsidRPr="00A17DD1">
        <w:rPr>
          <w:rFonts w:ascii="Arial" w:hAnsi="Arial" w:cs="Arial"/>
          <w:b/>
          <w:color w:val="auto"/>
          <w:sz w:val="20"/>
          <w:szCs w:val="20"/>
        </w:rPr>
        <w:lastRenderedPageBreak/>
        <w:t>1</w:t>
      </w:r>
      <w:r w:rsidR="007D1E76" w:rsidRPr="00A17DD1">
        <w:rPr>
          <w:rFonts w:ascii="Arial" w:hAnsi="Arial" w:cs="Arial"/>
          <w:b/>
          <w:color w:val="auto"/>
          <w:sz w:val="20"/>
          <w:szCs w:val="20"/>
        </w:rPr>
        <w:t>. Autoriza</w:t>
      </w:r>
      <w:r w:rsidR="00E00323" w:rsidRPr="00A17DD1">
        <w:rPr>
          <w:rFonts w:ascii="Arial" w:hAnsi="Arial" w:cs="Arial"/>
          <w:b/>
          <w:color w:val="auto"/>
          <w:sz w:val="20"/>
          <w:szCs w:val="20"/>
        </w:rPr>
        <w:t>ción e Historia:</w:t>
      </w:r>
      <w:bookmarkEnd w:id="0"/>
    </w:p>
    <w:p w14:paraId="360DA23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441574C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sobre:</w:t>
      </w:r>
    </w:p>
    <w:p w14:paraId="062E74E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3F477DA3" w14:textId="0672CE51"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Fecha de creación del ente</w:t>
      </w:r>
      <w:r w:rsidR="00F43AC5" w:rsidRPr="00A17DD1">
        <w:rPr>
          <w:rFonts w:ascii="Arial" w:hAnsi="Arial" w:cs="Arial"/>
          <w:sz w:val="20"/>
          <w:szCs w:val="20"/>
        </w:rPr>
        <w:t xml:space="preserve"> público.</w:t>
      </w:r>
    </w:p>
    <w:p w14:paraId="7D61B3F1" w14:textId="77777777" w:rsidR="00A94604" w:rsidRPr="00A17DD1" w:rsidRDefault="00A94604" w:rsidP="00CB41C4">
      <w:pPr>
        <w:tabs>
          <w:tab w:val="left" w:leader="underscore" w:pos="9639"/>
        </w:tabs>
        <w:spacing w:after="0" w:line="240" w:lineRule="auto"/>
        <w:jc w:val="both"/>
        <w:rPr>
          <w:rFonts w:ascii="Arial" w:hAnsi="Arial" w:cs="Arial"/>
          <w:sz w:val="20"/>
          <w:szCs w:val="20"/>
        </w:rPr>
      </w:pPr>
    </w:p>
    <w:p w14:paraId="0E1B68CC"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Ante la creciente necesidad de espacios educativos, el Gobierno Federal y Estatal, alineados a los Planes Sectoriales de Educación, acordaron poner en marcha el desarrollo estratégico de nuevos proyectos en materia de educación superior, que permitiera cubrir la demanda y el rezago educativo que existe en el país, establecido como una prioridad, de acuerdo al Plan Nacional de Desarrollo 2007 – 2012.</w:t>
      </w:r>
    </w:p>
    <w:p w14:paraId="4C900D23"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Hoy en día, el Instituto Tecnológico Superior de Guanajuato, forma parte de este desarrollo estratégico en materia de educación superior dentro del estado de Guanajuato y del municipio.</w:t>
      </w:r>
    </w:p>
    <w:p w14:paraId="4D54C5F1"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Uno de los antecedentes que se tiene y que dio fundamento al inicio de operaciones de este Instituto dentro del Municipio de Guanajuato, son los resultados del estudio de factibilidad, el cual muestra un rezago educativo en materia de educación y que a su vez dicho resultado se convierte en una necesidad prioritaria de atención para la sociedad local y regional del Estado de Guanajuato.</w:t>
      </w:r>
    </w:p>
    <w:p w14:paraId="3837CA26" w14:textId="483A7A4E" w:rsidR="007D1E76"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El 21 de agosto del 2009, el Instituto Tecnológico Superior de Guanajuato, recibe su aprobación por medio de Decreto Gubernativo del Estado de Guanajuato No. 117, las facultades para operar como Instituto independiente, consolidándose su administración y gestión directiva a partir del 01 de </w:t>
      </w:r>
      <w:proofErr w:type="gramStart"/>
      <w:r w:rsidRPr="00A17DD1">
        <w:rPr>
          <w:rFonts w:ascii="Arial" w:hAnsi="Arial" w:cs="Arial"/>
          <w:sz w:val="20"/>
          <w:szCs w:val="20"/>
        </w:rPr>
        <w:t>Enero</w:t>
      </w:r>
      <w:proofErr w:type="gramEnd"/>
      <w:r w:rsidRPr="00A17DD1">
        <w:rPr>
          <w:rFonts w:ascii="Arial" w:hAnsi="Arial" w:cs="Arial"/>
          <w:sz w:val="20"/>
          <w:szCs w:val="20"/>
        </w:rPr>
        <w:t xml:space="preserve"> del año 2010.</w:t>
      </w:r>
    </w:p>
    <w:p w14:paraId="4F52E4E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3A2353BF" w14:textId="5B3945F6"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Principales cambios en su estructura (interna históricamente).</w:t>
      </w:r>
    </w:p>
    <w:p w14:paraId="3F3DDBFD" w14:textId="77777777" w:rsidR="00A94604" w:rsidRPr="00A17DD1" w:rsidRDefault="00A94604" w:rsidP="00CB41C4">
      <w:pPr>
        <w:tabs>
          <w:tab w:val="left" w:leader="underscore" w:pos="9639"/>
        </w:tabs>
        <w:spacing w:after="0" w:line="240" w:lineRule="auto"/>
        <w:jc w:val="both"/>
        <w:rPr>
          <w:rFonts w:ascii="Arial" w:hAnsi="Arial" w:cs="Arial"/>
          <w:sz w:val="20"/>
          <w:szCs w:val="20"/>
        </w:rPr>
      </w:pPr>
    </w:p>
    <w:p w14:paraId="0A49D84F" w14:textId="15D30F69"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La estructura orgánica bajo la cual fue creado el Instituto Tecnológico Superior de Guanajuato, conforme al Decreto Gubernativo No. 164 del 17 de diciembre del 2010, a través del cual se expide el Estatuto Orgánico, a la fecha en la Estructura Orgánica no ha tenido modificaciones.</w:t>
      </w:r>
    </w:p>
    <w:p w14:paraId="5D02F799"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4DFBFDD4" w14:textId="55E19B39"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De acuerdo a la estructura funcional y de operación aprobada por el Tecnológico Nacional de México y la Dirección General de Recursos Humanos del Gobierno del Estado de Guanajuato, conforme al oficio No. DG/3549/2022 de fecha 21 de diciembre de 2022 y con efectos a partir del 09 de enero del 2023, la plantilla de personal administrativo se incrementó con 18 plazas de apoyo, técnico y manuales.</w:t>
      </w:r>
    </w:p>
    <w:p w14:paraId="4B0CB019"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57459185"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Para el estudio, planeación, operación, ejecución y despacho de los asuntos que le competen, el Instituto contará con la siguiente estructura orgánica:</w:t>
      </w:r>
    </w:p>
    <w:p w14:paraId="22EC7D8D"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0F0F5D4D" w14:textId="77777777" w:rsidR="00A94604" w:rsidRPr="00A17DD1" w:rsidRDefault="00A94604" w:rsidP="00A94604">
      <w:pPr>
        <w:pStyle w:val="Textoindependiente"/>
        <w:rPr>
          <w:rFonts w:eastAsia="Calibri" w:cs="Arial"/>
          <w:color w:val="auto"/>
          <w:sz w:val="20"/>
          <w:lang w:val="es-MX" w:eastAsia="en-US"/>
        </w:rPr>
      </w:pPr>
      <w:r w:rsidRPr="00A17DD1">
        <w:rPr>
          <w:rFonts w:eastAsia="Calibri" w:cs="Arial"/>
          <w:color w:val="auto"/>
          <w:sz w:val="20"/>
          <w:lang w:val="es-MX" w:eastAsia="en-US"/>
        </w:rPr>
        <w:t>Para el estudio, planeación, operación, ejecución y despacho de los asuntos que le competen, el Instituto contará con la siguiente estructura orgánica:</w:t>
      </w:r>
    </w:p>
    <w:p w14:paraId="5B7B1881" w14:textId="77777777" w:rsidR="00A94604" w:rsidRPr="00A17DD1" w:rsidRDefault="00A94604" w:rsidP="00A94604">
      <w:pPr>
        <w:pStyle w:val="Textoindependiente"/>
        <w:rPr>
          <w:rFonts w:eastAsia="Calibri" w:cs="Arial"/>
          <w:color w:val="auto"/>
          <w:sz w:val="20"/>
          <w:lang w:val="es-MX" w:eastAsia="en-US"/>
        </w:rPr>
      </w:pPr>
    </w:p>
    <w:p w14:paraId="1C67FC49" w14:textId="77777777" w:rsidR="00A94604" w:rsidRPr="00A17DD1" w:rsidRDefault="00A94604" w:rsidP="00A94604">
      <w:pPr>
        <w:pStyle w:val="Textoindependiente"/>
        <w:numPr>
          <w:ilvl w:val="0"/>
          <w:numId w:val="3"/>
        </w:numPr>
        <w:rPr>
          <w:rFonts w:eastAsia="Calibri" w:cs="Arial"/>
          <w:color w:val="auto"/>
          <w:sz w:val="20"/>
          <w:lang w:val="es-MX" w:eastAsia="en-US"/>
        </w:rPr>
      </w:pPr>
      <w:r w:rsidRPr="00A17DD1">
        <w:rPr>
          <w:rFonts w:eastAsia="Calibri" w:cs="Arial"/>
          <w:color w:val="auto"/>
          <w:sz w:val="20"/>
          <w:lang w:val="es-MX" w:eastAsia="en-US"/>
        </w:rPr>
        <w:t>Dirección General;</w:t>
      </w:r>
    </w:p>
    <w:p w14:paraId="5C4633D1" w14:textId="77777777" w:rsidR="00A94604" w:rsidRPr="00A17DD1" w:rsidRDefault="00A94604" w:rsidP="00A94604">
      <w:pPr>
        <w:pStyle w:val="Textoindependiente"/>
        <w:numPr>
          <w:ilvl w:val="0"/>
          <w:numId w:val="3"/>
        </w:numPr>
        <w:rPr>
          <w:rFonts w:eastAsia="Calibri" w:cs="Arial"/>
          <w:color w:val="auto"/>
          <w:sz w:val="20"/>
          <w:lang w:val="es-MX" w:eastAsia="en-US"/>
        </w:rPr>
      </w:pPr>
      <w:r w:rsidRPr="00A17DD1">
        <w:rPr>
          <w:rFonts w:eastAsia="Calibri" w:cs="Arial"/>
          <w:color w:val="auto"/>
          <w:sz w:val="20"/>
          <w:lang w:val="es-MX" w:eastAsia="en-US"/>
        </w:rPr>
        <w:t>Subdirecciones:</w:t>
      </w:r>
    </w:p>
    <w:p w14:paraId="0C3EB4B7" w14:textId="77777777" w:rsidR="00A94604" w:rsidRPr="00A17DD1" w:rsidRDefault="00A94604" w:rsidP="00A94604">
      <w:pPr>
        <w:pStyle w:val="Textoindependiente"/>
        <w:numPr>
          <w:ilvl w:val="1"/>
          <w:numId w:val="2"/>
        </w:numPr>
        <w:rPr>
          <w:rFonts w:eastAsia="Calibri" w:cs="Arial"/>
          <w:color w:val="auto"/>
          <w:sz w:val="20"/>
          <w:lang w:val="es-MX" w:eastAsia="en-US"/>
        </w:rPr>
      </w:pPr>
      <w:r w:rsidRPr="00A17DD1">
        <w:rPr>
          <w:rFonts w:eastAsia="Calibri" w:cs="Arial"/>
          <w:color w:val="auto"/>
          <w:sz w:val="20"/>
          <w:lang w:val="es-MX" w:eastAsia="en-US"/>
        </w:rPr>
        <w:t>Académica;</w:t>
      </w:r>
    </w:p>
    <w:p w14:paraId="5CA79783" w14:textId="77777777" w:rsidR="00A94604" w:rsidRPr="00A17DD1" w:rsidRDefault="00A94604" w:rsidP="00A94604">
      <w:pPr>
        <w:pStyle w:val="Textoindependiente"/>
        <w:numPr>
          <w:ilvl w:val="1"/>
          <w:numId w:val="2"/>
        </w:numPr>
        <w:rPr>
          <w:rFonts w:eastAsia="Calibri" w:cs="Arial"/>
          <w:color w:val="auto"/>
          <w:sz w:val="20"/>
          <w:lang w:val="es-MX" w:eastAsia="en-US"/>
        </w:rPr>
      </w:pPr>
      <w:r w:rsidRPr="00A17DD1">
        <w:rPr>
          <w:rFonts w:eastAsia="Calibri" w:cs="Arial"/>
          <w:color w:val="auto"/>
          <w:sz w:val="20"/>
          <w:lang w:val="es-MX" w:eastAsia="en-US"/>
        </w:rPr>
        <w:t>Planeación y Vinculación; y</w:t>
      </w:r>
    </w:p>
    <w:p w14:paraId="246C5DEC" w14:textId="77777777" w:rsidR="00A94604" w:rsidRPr="00A17DD1" w:rsidRDefault="00A94604" w:rsidP="00A94604">
      <w:pPr>
        <w:pStyle w:val="Textoindependiente"/>
        <w:numPr>
          <w:ilvl w:val="1"/>
          <w:numId w:val="2"/>
        </w:numPr>
        <w:rPr>
          <w:rFonts w:eastAsia="Calibri" w:cs="Arial"/>
          <w:color w:val="auto"/>
          <w:sz w:val="20"/>
          <w:lang w:val="es-MX" w:eastAsia="en-US"/>
        </w:rPr>
      </w:pPr>
      <w:r w:rsidRPr="00A17DD1">
        <w:rPr>
          <w:rFonts w:eastAsia="Calibri" w:cs="Arial"/>
          <w:color w:val="auto"/>
          <w:sz w:val="20"/>
          <w:lang w:val="es-MX" w:eastAsia="en-US"/>
        </w:rPr>
        <w:t>Administración y Finanzas.</w:t>
      </w:r>
    </w:p>
    <w:p w14:paraId="6C5BFEB3" w14:textId="77777777" w:rsidR="00A94604" w:rsidRPr="00A17DD1" w:rsidRDefault="00A94604" w:rsidP="00A94604">
      <w:pPr>
        <w:pStyle w:val="Textoindependiente"/>
        <w:numPr>
          <w:ilvl w:val="0"/>
          <w:numId w:val="3"/>
        </w:numPr>
        <w:rPr>
          <w:rFonts w:eastAsia="Calibri" w:cs="Arial"/>
          <w:color w:val="auto"/>
          <w:sz w:val="20"/>
          <w:lang w:val="es-MX" w:eastAsia="en-US"/>
        </w:rPr>
      </w:pPr>
      <w:r w:rsidRPr="00A17DD1">
        <w:rPr>
          <w:rFonts w:eastAsia="Calibri" w:cs="Arial"/>
          <w:color w:val="auto"/>
          <w:sz w:val="20"/>
          <w:lang w:val="es-MX" w:eastAsia="en-US"/>
        </w:rPr>
        <w:t>Abogado General;</w:t>
      </w:r>
    </w:p>
    <w:p w14:paraId="2046FC4F" w14:textId="77777777" w:rsidR="00A94604" w:rsidRPr="00A17DD1" w:rsidRDefault="00A94604" w:rsidP="00A94604">
      <w:pPr>
        <w:pStyle w:val="Textoindependiente"/>
        <w:numPr>
          <w:ilvl w:val="0"/>
          <w:numId w:val="3"/>
        </w:numPr>
        <w:rPr>
          <w:rFonts w:eastAsia="Calibri" w:cs="Arial"/>
          <w:color w:val="auto"/>
          <w:sz w:val="20"/>
          <w:lang w:val="es-MX" w:eastAsia="en-US"/>
        </w:rPr>
      </w:pPr>
      <w:r w:rsidRPr="00A17DD1">
        <w:rPr>
          <w:rFonts w:eastAsia="Calibri" w:cs="Arial"/>
          <w:color w:val="auto"/>
          <w:sz w:val="20"/>
          <w:lang w:val="es-MX" w:eastAsia="en-US"/>
        </w:rPr>
        <w:t>Contraloría Interna; y</w:t>
      </w:r>
    </w:p>
    <w:p w14:paraId="5E4A3019" w14:textId="77777777" w:rsidR="00A94604" w:rsidRPr="00A17DD1" w:rsidRDefault="00A94604" w:rsidP="00A94604">
      <w:pPr>
        <w:pStyle w:val="Textoindependiente"/>
        <w:numPr>
          <w:ilvl w:val="0"/>
          <w:numId w:val="3"/>
        </w:numPr>
        <w:rPr>
          <w:rFonts w:eastAsia="Calibri" w:cs="Arial"/>
          <w:color w:val="auto"/>
          <w:sz w:val="20"/>
          <w:lang w:val="es-MX" w:eastAsia="en-US"/>
        </w:rPr>
      </w:pPr>
      <w:r w:rsidRPr="00A17DD1">
        <w:rPr>
          <w:rFonts w:eastAsia="Calibri" w:cs="Arial"/>
          <w:color w:val="auto"/>
          <w:sz w:val="20"/>
          <w:lang w:val="es-MX" w:eastAsia="en-US"/>
        </w:rPr>
        <w:t>Coordinadores de Carrera.</w:t>
      </w:r>
    </w:p>
    <w:p w14:paraId="5F242145" w14:textId="77777777" w:rsidR="00A94604" w:rsidRPr="00A17DD1" w:rsidRDefault="00A94604" w:rsidP="00A94604">
      <w:pPr>
        <w:pStyle w:val="Textoindependiente"/>
        <w:rPr>
          <w:rFonts w:eastAsia="Calibri" w:cs="Arial"/>
          <w:color w:val="auto"/>
          <w:sz w:val="20"/>
          <w:lang w:val="es-MX" w:eastAsia="en-US"/>
        </w:rPr>
      </w:pPr>
    </w:p>
    <w:p w14:paraId="081D4D61" w14:textId="77777777" w:rsidR="00A94604" w:rsidRPr="00A17DD1" w:rsidRDefault="00A94604" w:rsidP="00A94604">
      <w:pPr>
        <w:pStyle w:val="Textoindependiente"/>
        <w:rPr>
          <w:rFonts w:cs="Arial"/>
          <w:bCs/>
          <w:color w:val="auto"/>
          <w:sz w:val="20"/>
        </w:rPr>
      </w:pPr>
      <w:r w:rsidRPr="00A17DD1">
        <w:rPr>
          <w:rFonts w:eastAsia="Calibri" w:cs="Arial"/>
          <w:color w:val="auto"/>
          <w:sz w:val="20"/>
          <w:lang w:val="es-MX" w:eastAsia="en-US"/>
        </w:rPr>
        <w:t>Dicha estructura estará sujeta a las modificaciones que el desarrollo del Instituto en general, requiera para tal fin y aprueben las autoridades competentes</w:t>
      </w:r>
      <w:r w:rsidRPr="00A17DD1">
        <w:rPr>
          <w:rFonts w:cs="Arial"/>
          <w:bCs/>
          <w:color w:val="auto"/>
          <w:sz w:val="20"/>
        </w:rPr>
        <w:t xml:space="preserve">. </w:t>
      </w:r>
    </w:p>
    <w:p w14:paraId="16A215A1" w14:textId="77777777" w:rsidR="00516A8F" w:rsidRPr="00A17DD1" w:rsidRDefault="00516A8F" w:rsidP="00516A8F">
      <w:pPr>
        <w:tabs>
          <w:tab w:val="left" w:leader="underscore" w:pos="9639"/>
        </w:tabs>
        <w:spacing w:after="0" w:line="240" w:lineRule="auto"/>
        <w:jc w:val="both"/>
        <w:rPr>
          <w:rFonts w:ascii="Arial" w:hAnsi="Arial" w:cs="Arial"/>
          <w:sz w:val="20"/>
          <w:szCs w:val="20"/>
        </w:rPr>
      </w:pPr>
    </w:p>
    <w:p w14:paraId="5A494C73" w14:textId="7B672A6D" w:rsidR="00BE02EB" w:rsidRPr="00A17DD1" w:rsidRDefault="00BE02EB" w:rsidP="000C3365">
      <w:pPr>
        <w:pStyle w:val="Ttulo2"/>
        <w:rPr>
          <w:rFonts w:ascii="Arial" w:hAnsi="Arial" w:cs="Arial"/>
          <w:b/>
          <w:color w:val="auto"/>
          <w:sz w:val="20"/>
          <w:szCs w:val="20"/>
        </w:rPr>
      </w:pPr>
      <w:bookmarkStart w:id="1" w:name="_Toc161472867"/>
      <w:r w:rsidRPr="00A17DD1">
        <w:rPr>
          <w:rFonts w:ascii="Arial" w:hAnsi="Arial" w:cs="Arial"/>
          <w:b/>
          <w:color w:val="auto"/>
          <w:sz w:val="20"/>
          <w:szCs w:val="20"/>
        </w:rPr>
        <w:t xml:space="preserve">2. </w:t>
      </w:r>
      <w:r w:rsidR="00B6368B" w:rsidRPr="00A17DD1">
        <w:rPr>
          <w:rFonts w:ascii="Arial" w:hAnsi="Arial" w:cs="Arial"/>
          <w:b/>
          <w:color w:val="auto"/>
          <w:sz w:val="20"/>
          <w:szCs w:val="20"/>
        </w:rPr>
        <w:t>Panorama Económico y Financiero</w:t>
      </w:r>
      <w:bookmarkEnd w:id="1"/>
    </w:p>
    <w:p w14:paraId="5966EB6E"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El Instituto Tecnológico Superior de Guanajuato obtiene sus recursos financieros de las siguientes fuentes de financiamiento:</w:t>
      </w:r>
    </w:p>
    <w:p w14:paraId="5C62CC40"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5542A5AA" w14:textId="7D58DA4A"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a) Los ingresos propios. - Provenientes por la venta de bienes y servicios, prestación de servicios y otras ventas de bienes y servicios que se generan por las diversas actividades de la entidad; así como, por </w:t>
      </w:r>
      <w:r w:rsidRPr="00A17DD1">
        <w:rPr>
          <w:rFonts w:ascii="Arial" w:hAnsi="Arial" w:cs="Arial"/>
          <w:sz w:val="20"/>
          <w:szCs w:val="20"/>
        </w:rPr>
        <w:lastRenderedPageBreak/>
        <w:t>convenios específicos suscritos con el Instituto de Innovación, Ciencia y Emprendimiento para la competitividad para el desarrollo para el Estado de Guanajuato (Innovación, desarrollo, emprendimiento y aceleración, IDEA-GTO) y otros organismos.</w:t>
      </w:r>
    </w:p>
    <w:p w14:paraId="78DA529B"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6A9FFB11"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b) Transferencias, asignaciones, subsidios y otras ayudas. - Constituidos por los subsidios de naturaleza ordinaria y extraordinaria que aporta el gobierno del Estado de Guanajuato.</w:t>
      </w:r>
    </w:p>
    <w:p w14:paraId="166FB7A2"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56E49060"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c) Participaciones y aportaciones. - Constituidos por las aportaciones ordinarias y extraordinarias que realiza el gobierno Federal a través de convenios específicos con la Secretaría de Educación Pública (SEP) por medio del Tecnológico Nacional de México.</w:t>
      </w:r>
    </w:p>
    <w:p w14:paraId="19839A81"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68CB025B"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Estos fondos o fuentes de financiamiento de recursos, permiten el funcionamiento operativo de la Instituto y favorecen su crecimiento y desarrollo. La Institución concentra su esfuerzo hacia funciones sustantivas de Docencia, Investigación y Extensión. Lo anterior se refleja en el establecimiento de metas académicas y administrativas para llevar al Instituto a la mejora continua. </w:t>
      </w:r>
    </w:p>
    <w:p w14:paraId="4F263F70"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6841A9BC" w14:textId="095C987D" w:rsidR="0012493A"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Por todo lo anterior expuesto, el panorama económico y financiero del Instituto para los ejercicios fiscales correspondientes, </w:t>
      </w:r>
      <w:proofErr w:type="spellStart"/>
      <w:proofErr w:type="gramStart"/>
      <w:r w:rsidRPr="00A17DD1">
        <w:rPr>
          <w:rFonts w:ascii="Arial" w:hAnsi="Arial" w:cs="Arial"/>
          <w:sz w:val="20"/>
          <w:szCs w:val="20"/>
        </w:rPr>
        <w:t>esta</w:t>
      </w:r>
      <w:proofErr w:type="spellEnd"/>
      <w:r w:rsidRPr="00A17DD1">
        <w:rPr>
          <w:rFonts w:ascii="Arial" w:hAnsi="Arial" w:cs="Arial"/>
          <w:sz w:val="20"/>
          <w:szCs w:val="20"/>
        </w:rPr>
        <w:t xml:space="preserve"> sujeto</w:t>
      </w:r>
      <w:proofErr w:type="gramEnd"/>
      <w:r w:rsidRPr="00A17DD1">
        <w:rPr>
          <w:rFonts w:ascii="Arial" w:hAnsi="Arial" w:cs="Arial"/>
          <w:sz w:val="20"/>
          <w:szCs w:val="20"/>
        </w:rPr>
        <w:t xml:space="preserve"> a las políticas tanto económicas, sociales y financieras que establece el gobierno Estatal como Federal, y que de ello depende, continuar con los subsidios y aportaciones que permiten continuar con las operaciones y propósitos básicos del Instituto.</w:t>
      </w:r>
    </w:p>
    <w:p w14:paraId="208447E6" w14:textId="77777777" w:rsidR="0012493A" w:rsidRPr="00A17DD1" w:rsidRDefault="0012493A" w:rsidP="00516A8F">
      <w:pPr>
        <w:tabs>
          <w:tab w:val="left" w:leader="underscore" w:pos="9639"/>
        </w:tabs>
        <w:spacing w:after="0" w:line="240" w:lineRule="auto"/>
        <w:jc w:val="both"/>
        <w:rPr>
          <w:rFonts w:ascii="Arial" w:hAnsi="Arial" w:cs="Arial"/>
          <w:sz w:val="20"/>
          <w:szCs w:val="20"/>
        </w:rPr>
      </w:pPr>
    </w:p>
    <w:p w14:paraId="0305CEA0" w14:textId="77777777" w:rsidR="0012493A" w:rsidRPr="00A17DD1" w:rsidRDefault="0012493A" w:rsidP="00516A8F">
      <w:pPr>
        <w:tabs>
          <w:tab w:val="left" w:leader="underscore" w:pos="9639"/>
        </w:tabs>
        <w:spacing w:after="0" w:line="240" w:lineRule="auto"/>
        <w:jc w:val="both"/>
        <w:rPr>
          <w:rFonts w:ascii="Arial" w:hAnsi="Arial" w:cs="Arial"/>
          <w:sz w:val="20"/>
          <w:szCs w:val="20"/>
        </w:rPr>
      </w:pPr>
    </w:p>
    <w:p w14:paraId="08136E94" w14:textId="2B775A1C" w:rsidR="007D1E76" w:rsidRPr="00A17DD1" w:rsidRDefault="009736CB" w:rsidP="000C3365">
      <w:pPr>
        <w:pStyle w:val="Ttulo2"/>
        <w:rPr>
          <w:rFonts w:ascii="Arial" w:hAnsi="Arial" w:cs="Arial"/>
          <w:b/>
          <w:color w:val="auto"/>
          <w:sz w:val="20"/>
          <w:szCs w:val="20"/>
        </w:rPr>
      </w:pPr>
      <w:bookmarkStart w:id="2" w:name="_Toc161472868"/>
      <w:r w:rsidRPr="00A17DD1">
        <w:rPr>
          <w:rFonts w:ascii="Arial" w:hAnsi="Arial" w:cs="Arial"/>
          <w:b/>
          <w:color w:val="auto"/>
          <w:sz w:val="20"/>
          <w:szCs w:val="20"/>
        </w:rPr>
        <w:t>3</w:t>
      </w:r>
      <w:r w:rsidR="007D1E76" w:rsidRPr="00A17DD1">
        <w:rPr>
          <w:rFonts w:ascii="Arial" w:hAnsi="Arial" w:cs="Arial"/>
          <w:b/>
          <w:color w:val="auto"/>
          <w:sz w:val="20"/>
          <w:szCs w:val="20"/>
        </w:rPr>
        <w:t xml:space="preserve">. </w:t>
      </w:r>
      <w:r w:rsidR="00E00323" w:rsidRPr="00A17DD1">
        <w:rPr>
          <w:rFonts w:ascii="Arial" w:hAnsi="Arial" w:cs="Arial"/>
          <w:b/>
          <w:color w:val="auto"/>
          <w:sz w:val="20"/>
          <w:szCs w:val="20"/>
        </w:rPr>
        <w:t>Organización y Objeto Social:</w:t>
      </w:r>
      <w:bookmarkEnd w:id="2"/>
    </w:p>
    <w:p w14:paraId="6C85E52D"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7B5DF23"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sobre:</w:t>
      </w:r>
    </w:p>
    <w:p w14:paraId="473E423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3A7F2587" w14:textId="503787A3"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Objeto social.</w:t>
      </w:r>
    </w:p>
    <w:p w14:paraId="7D5B5293" w14:textId="77777777" w:rsidR="00A94604" w:rsidRPr="00A17DD1" w:rsidRDefault="00A94604" w:rsidP="00CB41C4">
      <w:pPr>
        <w:tabs>
          <w:tab w:val="left" w:leader="underscore" w:pos="9639"/>
        </w:tabs>
        <w:spacing w:after="0" w:line="240" w:lineRule="auto"/>
        <w:jc w:val="both"/>
        <w:rPr>
          <w:rFonts w:ascii="Arial" w:hAnsi="Arial" w:cs="Arial"/>
          <w:sz w:val="20"/>
          <w:szCs w:val="20"/>
        </w:rPr>
      </w:pPr>
    </w:p>
    <w:p w14:paraId="52BF379A" w14:textId="77777777" w:rsidR="00A94604" w:rsidRPr="00A17DD1" w:rsidRDefault="00A94604" w:rsidP="00A94604">
      <w:pPr>
        <w:jc w:val="both"/>
        <w:rPr>
          <w:rFonts w:ascii="Arial" w:hAnsi="Arial" w:cs="Arial"/>
          <w:sz w:val="20"/>
          <w:szCs w:val="20"/>
          <w:lang w:val="es-ES_tradnl"/>
        </w:rPr>
      </w:pPr>
      <w:r w:rsidRPr="00A17DD1">
        <w:rPr>
          <w:rFonts w:ascii="Arial" w:hAnsi="Arial" w:cs="Arial"/>
          <w:sz w:val="20"/>
          <w:szCs w:val="20"/>
          <w:lang w:val="es-ES_tradnl"/>
        </w:rPr>
        <w:t>1. Contribuir, a través del proceso educativo, a mejorar las condiciones de vida de los guanajuatenses;</w:t>
      </w:r>
    </w:p>
    <w:p w14:paraId="0CC4F381" w14:textId="77777777" w:rsidR="00A94604" w:rsidRPr="00A17DD1" w:rsidRDefault="00A94604" w:rsidP="00A94604">
      <w:pPr>
        <w:jc w:val="both"/>
        <w:rPr>
          <w:rFonts w:ascii="Arial" w:hAnsi="Arial" w:cs="Arial"/>
          <w:sz w:val="20"/>
          <w:szCs w:val="20"/>
          <w:lang w:val="es-ES_tradnl"/>
        </w:rPr>
      </w:pPr>
      <w:r w:rsidRPr="00A17DD1">
        <w:rPr>
          <w:rFonts w:ascii="Arial" w:hAnsi="Arial" w:cs="Arial"/>
          <w:sz w:val="20"/>
          <w:szCs w:val="20"/>
          <w:lang w:val="es-ES_tradnl"/>
        </w:rPr>
        <w:t>2. Ampliar las posibilidades de la educación superior tecnológica a todos los habitantes del Estado;</w:t>
      </w:r>
    </w:p>
    <w:p w14:paraId="7ABE4632" w14:textId="77777777" w:rsidR="00A94604" w:rsidRPr="00A17DD1" w:rsidRDefault="00A94604" w:rsidP="00A94604">
      <w:pPr>
        <w:jc w:val="both"/>
        <w:rPr>
          <w:rFonts w:ascii="Arial" w:hAnsi="Arial" w:cs="Arial"/>
          <w:sz w:val="20"/>
          <w:szCs w:val="20"/>
        </w:rPr>
      </w:pPr>
      <w:r w:rsidRPr="00A17DD1">
        <w:rPr>
          <w:rFonts w:ascii="Arial" w:hAnsi="Arial" w:cs="Arial"/>
          <w:sz w:val="20"/>
          <w:szCs w:val="20"/>
          <w:lang w:val="es-ES_tradnl"/>
        </w:rPr>
        <w:t>3. Realizar investigación aplicada e innovación científica y tecnológica, así como desarrollar estudios o proyectos en las áreas de su competencia, que se traduzcan en aportaciones concretas que contribuyan al mejoramiento y mayor eficiencia de la producción de bienes o servicios, así como a la elevación de la calidad de vida de la comunidad apoyando las estrategias del desarrollo del Estado de Guanajuato.</w:t>
      </w:r>
    </w:p>
    <w:p w14:paraId="43C65E0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2C110A08"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Principal actividad.</w:t>
      </w:r>
    </w:p>
    <w:p w14:paraId="67F8AB1E"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p>
    <w:p w14:paraId="730C2F89" w14:textId="1196F9C5"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1. Impartir educación tecnológica en los niveles de técnico superior, licenciatura, maestría y doctorado, así como cursos de actualización, especialización y superación académica, en sus modalidades escolares y extraescolar;</w:t>
      </w:r>
    </w:p>
    <w:p w14:paraId="35889368" w14:textId="77777777" w:rsidR="00A94604"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2. Planear, desarrollar y evaluar actividades de investigación aplicada e innovación científica y tecnológica;</w:t>
      </w:r>
    </w:p>
    <w:p w14:paraId="25E068D1" w14:textId="538BC157" w:rsidR="007D1E76" w:rsidRPr="00A17DD1" w:rsidRDefault="00A94604" w:rsidP="00A9460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3. Impulsar estrategias de participación y concertación con los sectores público, social y privado, para la proyección de las actividades productivas, con eficiencia y sentido social basada en la vocación productiva de su área de influencia.</w:t>
      </w:r>
    </w:p>
    <w:p w14:paraId="15F90EEC" w14:textId="77777777" w:rsidR="00CB41C4" w:rsidRPr="00A17DD1" w:rsidRDefault="00CB41C4" w:rsidP="00CB41C4">
      <w:pPr>
        <w:tabs>
          <w:tab w:val="left" w:leader="underscore" w:pos="9639"/>
        </w:tabs>
        <w:spacing w:after="0" w:line="240" w:lineRule="auto"/>
        <w:jc w:val="both"/>
        <w:rPr>
          <w:rFonts w:ascii="Arial" w:hAnsi="Arial" w:cs="Arial"/>
          <w:sz w:val="20"/>
          <w:szCs w:val="20"/>
        </w:rPr>
      </w:pPr>
    </w:p>
    <w:p w14:paraId="2D21CE61" w14:textId="1C7201E9"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c)</w:t>
      </w:r>
      <w:r w:rsidRPr="00A17DD1">
        <w:rPr>
          <w:rFonts w:ascii="Arial" w:hAnsi="Arial" w:cs="Arial"/>
          <w:sz w:val="20"/>
          <w:szCs w:val="20"/>
        </w:rPr>
        <w:t xml:space="preserve"> Ejercicio fiscal.</w:t>
      </w:r>
    </w:p>
    <w:p w14:paraId="16703E54" w14:textId="5CC00349" w:rsidR="007D1E76" w:rsidRPr="00A17DD1" w:rsidRDefault="007D1E76" w:rsidP="00CB41C4">
      <w:pPr>
        <w:tabs>
          <w:tab w:val="left" w:leader="underscore" w:pos="9639"/>
        </w:tabs>
        <w:spacing w:after="0" w:line="240" w:lineRule="auto"/>
        <w:jc w:val="both"/>
        <w:rPr>
          <w:rFonts w:ascii="Arial" w:hAnsi="Arial" w:cs="Arial"/>
          <w:sz w:val="20"/>
          <w:szCs w:val="20"/>
        </w:rPr>
      </w:pPr>
    </w:p>
    <w:p w14:paraId="4D4AF7D6" w14:textId="498C8F1C" w:rsidR="00A94604" w:rsidRPr="00A17DD1" w:rsidRDefault="00A94604"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Enero a diciembre de 2024</w:t>
      </w:r>
    </w:p>
    <w:p w14:paraId="44F57F3A" w14:textId="77777777" w:rsidR="00A94604" w:rsidRPr="00A17DD1" w:rsidRDefault="00A94604" w:rsidP="00CB41C4">
      <w:pPr>
        <w:tabs>
          <w:tab w:val="left" w:leader="underscore" w:pos="9639"/>
        </w:tabs>
        <w:spacing w:after="0" w:line="240" w:lineRule="auto"/>
        <w:jc w:val="both"/>
        <w:rPr>
          <w:rFonts w:ascii="Arial" w:hAnsi="Arial" w:cs="Arial"/>
          <w:sz w:val="20"/>
          <w:szCs w:val="20"/>
        </w:rPr>
      </w:pPr>
    </w:p>
    <w:p w14:paraId="39A702DB" w14:textId="77777777" w:rsidR="00A17DD1" w:rsidRDefault="00A17DD1" w:rsidP="00A94604">
      <w:pPr>
        <w:jc w:val="both"/>
        <w:rPr>
          <w:rFonts w:ascii="Arial" w:hAnsi="Arial" w:cs="Arial"/>
          <w:b/>
          <w:sz w:val="20"/>
          <w:szCs w:val="20"/>
        </w:rPr>
      </w:pPr>
    </w:p>
    <w:p w14:paraId="74457AB2" w14:textId="471988EF" w:rsidR="00A94604" w:rsidRPr="00A17DD1" w:rsidRDefault="007D1E76" w:rsidP="00A94604">
      <w:pPr>
        <w:jc w:val="both"/>
        <w:rPr>
          <w:rFonts w:ascii="Arial" w:hAnsi="Arial" w:cs="Arial"/>
          <w:sz w:val="20"/>
          <w:szCs w:val="20"/>
        </w:rPr>
      </w:pPr>
      <w:r w:rsidRPr="00A17DD1">
        <w:rPr>
          <w:rFonts w:ascii="Arial" w:hAnsi="Arial" w:cs="Arial"/>
          <w:b/>
          <w:sz w:val="20"/>
          <w:szCs w:val="20"/>
        </w:rPr>
        <w:lastRenderedPageBreak/>
        <w:t>d)</w:t>
      </w:r>
      <w:r w:rsidRPr="00A17DD1">
        <w:rPr>
          <w:rFonts w:ascii="Arial" w:hAnsi="Arial" w:cs="Arial"/>
          <w:sz w:val="20"/>
          <w:szCs w:val="20"/>
        </w:rPr>
        <w:t xml:space="preserve"> Régimen jurídico </w:t>
      </w:r>
    </w:p>
    <w:p w14:paraId="17049D39" w14:textId="2B54EE44" w:rsidR="00A94604" w:rsidRPr="00A17DD1" w:rsidRDefault="00A94604" w:rsidP="00A94604">
      <w:pPr>
        <w:jc w:val="both"/>
        <w:rPr>
          <w:rFonts w:ascii="Arial" w:hAnsi="Arial" w:cs="Arial"/>
          <w:sz w:val="20"/>
          <w:szCs w:val="20"/>
        </w:rPr>
      </w:pPr>
      <w:r w:rsidRPr="00A17DD1">
        <w:rPr>
          <w:rFonts w:ascii="Arial" w:hAnsi="Arial" w:cs="Arial"/>
          <w:sz w:val="20"/>
          <w:szCs w:val="20"/>
        </w:rPr>
        <w:t xml:space="preserve">Persona Moral sin fines de lucro, Educación Superior. </w:t>
      </w:r>
    </w:p>
    <w:p w14:paraId="15948964" w14:textId="27105B6A" w:rsidR="007D1E76" w:rsidRPr="00A17DD1" w:rsidRDefault="007D1E76" w:rsidP="00A9460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e)</w:t>
      </w:r>
      <w:r w:rsidRPr="00A17DD1">
        <w:rPr>
          <w:rFonts w:ascii="Arial" w:hAnsi="Arial" w:cs="Arial"/>
          <w:sz w:val="20"/>
          <w:szCs w:val="20"/>
        </w:rPr>
        <w:t xml:space="preserve"> Consideraciones fiscales del ente: </w:t>
      </w:r>
      <w:r w:rsidR="00657009" w:rsidRPr="00A17DD1">
        <w:rPr>
          <w:rFonts w:ascii="Arial" w:hAnsi="Arial" w:cs="Arial"/>
          <w:sz w:val="20"/>
          <w:szCs w:val="20"/>
        </w:rPr>
        <w:t>R</w:t>
      </w:r>
      <w:r w:rsidRPr="00A17DD1">
        <w:rPr>
          <w:rFonts w:ascii="Arial" w:hAnsi="Arial" w:cs="Arial"/>
          <w:sz w:val="20"/>
          <w:szCs w:val="20"/>
        </w:rPr>
        <w:t>evelar el tipo de contribuciones que esté obligado a pagar o retener.</w:t>
      </w:r>
    </w:p>
    <w:p w14:paraId="33631AEF" w14:textId="77777777" w:rsidR="00A94604" w:rsidRPr="00A17DD1" w:rsidRDefault="00A94604" w:rsidP="00A94604">
      <w:pPr>
        <w:spacing w:after="0" w:line="240" w:lineRule="auto"/>
        <w:jc w:val="both"/>
        <w:rPr>
          <w:rFonts w:ascii="Arial" w:hAnsi="Arial" w:cs="Arial"/>
          <w:sz w:val="20"/>
          <w:szCs w:val="20"/>
        </w:rPr>
      </w:pPr>
    </w:p>
    <w:p w14:paraId="7470E384" w14:textId="62B53B2E" w:rsidR="00A94604" w:rsidRPr="00A17DD1" w:rsidRDefault="00A94604" w:rsidP="00A94604">
      <w:pPr>
        <w:spacing w:after="0" w:line="240" w:lineRule="auto"/>
        <w:jc w:val="both"/>
        <w:rPr>
          <w:rFonts w:ascii="Arial" w:hAnsi="Arial" w:cs="Arial"/>
          <w:sz w:val="20"/>
          <w:szCs w:val="20"/>
        </w:rPr>
      </w:pPr>
      <w:r w:rsidRPr="00A17DD1">
        <w:rPr>
          <w:rFonts w:ascii="Arial" w:hAnsi="Arial" w:cs="Arial"/>
          <w:sz w:val="20"/>
          <w:szCs w:val="20"/>
        </w:rPr>
        <w:t>Pago provisional de ISR por retención de sueldos y salarios, honorarios asimilados a salarios y servicios profesionales; Declaración definitiva mensual de IVA, Declaración de Operaciones con Terceros mensual, Impuesto cedular, Impuesto sobre nómina, Impuesto cedular por retención de servicios profesionales, Declaración anual de sueldos y salarios, IMSS mensual, INFONAVIT bimestral.</w:t>
      </w:r>
    </w:p>
    <w:p w14:paraId="5DAC4C32" w14:textId="77777777" w:rsidR="00A94604" w:rsidRPr="00A17DD1" w:rsidRDefault="00A94604" w:rsidP="00A94604">
      <w:pPr>
        <w:spacing w:after="0" w:line="240" w:lineRule="auto"/>
        <w:jc w:val="both"/>
        <w:rPr>
          <w:rFonts w:ascii="Arial" w:hAnsi="Arial" w:cs="Arial"/>
          <w:sz w:val="20"/>
          <w:szCs w:val="20"/>
        </w:rPr>
      </w:pPr>
    </w:p>
    <w:p w14:paraId="6EB77A6D" w14:textId="0EECDB16" w:rsidR="007D1E76"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f)</w:t>
      </w:r>
      <w:r w:rsidRPr="00A17DD1">
        <w:rPr>
          <w:rFonts w:ascii="Arial" w:hAnsi="Arial" w:cs="Arial"/>
          <w:sz w:val="20"/>
          <w:szCs w:val="20"/>
        </w:rPr>
        <w:t xml:space="preserve"> Estructura organizacional básica.</w:t>
      </w:r>
    </w:p>
    <w:p w14:paraId="2F9D9EF4" w14:textId="77777777" w:rsidR="00CB28D8" w:rsidRPr="00A17DD1" w:rsidRDefault="00CB28D8" w:rsidP="00CB41C4">
      <w:pPr>
        <w:tabs>
          <w:tab w:val="left" w:leader="underscore" w:pos="9639"/>
        </w:tabs>
        <w:spacing w:after="0" w:line="240" w:lineRule="auto"/>
        <w:jc w:val="both"/>
        <w:rPr>
          <w:rFonts w:ascii="Arial" w:hAnsi="Arial" w:cs="Arial"/>
          <w:sz w:val="20"/>
          <w:szCs w:val="20"/>
        </w:rPr>
      </w:pPr>
    </w:p>
    <w:p w14:paraId="3450C629" w14:textId="16F19C91" w:rsidR="007D1E76" w:rsidRPr="00A17DD1" w:rsidRDefault="008A55A5" w:rsidP="00CB28D8">
      <w:pPr>
        <w:tabs>
          <w:tab w:val="left" w:leader="underscore" w:pos="9639"/>
        </w:tabs>
        <w:spacing w:after="0" w:line="240" w:lineRule="auto"/>
        <w:jc w:val="center"/>
        <w:rPr>
          <w:rFonts w:ascii="Arial" w:hAnsi="Arial" w:cs="Arial"/>
          <w:sz w:val="20"/>
          <w:szCs w:val="20"/>
        </w:rPr>
      </w:pPr>
      <w:r w:rsidRPr="008A55A5">
        <w:rPr>
          <w:rFonts w:ascii="Arial" w:hAnsi="Arial" w:cs="Arial"/>
          <w:sz w:val="20"/>
          <w:szCs w:val="20"/>
        </w:rPr>
        <w:drawing>
          <wp:inline distT="0" distB="0" distL="0" distR="0" wp14:anchorId="4E1021DE" wp14:editId="202D4ED1">
            <wp:extent cx="6320332" cy="4190939"/>
            <wp:effectExtent l="0" t="0" r="4445" b="635"/>
            <wp:docPr id="11" name="Imagen 6">
              <a:extLst xmlns:a="http://schemas.openxmlformats.org/drawingml/2006/main">
                <a:ext uri="{FF2B5EF4-FFF2-40B4-BE49-F238E27FC236}">
                  <a16:creationId xmlns:a16="http://schemas.microsoft.com/office/drawing/2014/main" id="{E9804E50-F48E-4F86-BA8F-F3A4909E97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E9804E50-F48E-4F86-BA8F-F3A4909E973A}"/>
                        </a:ext>
                      </a:extLst>
                    </pic:cNvPr>
                    <pic:cNvPicPr>
                      <a:picLocks noChangeAspect="1"/>
                    </pic:cNvPicPr>
                  </pic:nvPicPr>
                  <pic:blipFill rotWithShape="1">
                    <a:blip r:embed="rId12"/>
                    <a:srcRect l="15964" t="10897" r="14863" b="7554"/>
                    <a:stretch/>
                  </pic:blipFill>
                  <pic:spPr>
                    <a:xfrm>
                      <a:off x="0" y="0"/>
                      <a:ext cx="6326502" cy="4195031"/>
                    </a:xfrm>
                    <a:prstGeom prst="rect">
                      <a:avLst/>
                    </a:prstGeom>
                  </pic:spPr>
                </pic:pic>
              </a:graphicData>
            </a:graphic>
          </wp:inline>
        </w:drawing>
      </w:r>
    </w:p>
    <w:p w14:paraId="13E82C3D" w14:textId="6A972F8F" w:rsidR="00CB41C4" w:rsidRPr="00A17DD1" w:rsidRDefault="00CB41C4" w:rsidP="00CB41C4">
      <w:pPr>
        <w:tabs>
          <w:tab w:val="left" w:leader="underscore" w:pos="9639"/>
        </w:tabs>
        <w:spacing w:after="0" w:line="240" w:lineRule="auto"/>
        <w:jc w:val="both"/>
        <w:rPr>
          <w:rFonts w:ascii="Arial" w:hAnsi="Arial" w:cs="Arial"/>
          <w:sz w:val="20"/>
          <w:szCs w:val="20"/>
        </w:rPr>
      </w:pPr>
    </w:p>
    <w:p w14:paraId="19CEE146" w14:textId="0080C658"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g)</w:t>
      </w:r>
      <w:r w:rsidRPr="00A17DD1">
        <w:rPr>
          <w:rFonts w:ascii="Arial" w:hAnsi="Arial" w:cs="Arial"/>
          <w:sz w:val="20"/>
          <w:szCs w:val="20"/>
        </w:rPr>
        <w:t xml:space="preserve"> </w:t>
      </w:r>
      <w:r w:rsidR="00396D53" w:rsidRPr="00A17DD1">
        <w:rPr>
          <w:rFonts w:ascii="Arial" w:hAnsi="Arial" w:cs="Arial"/>
          <w:sz w:val="20"/>
          <w:szCs w:val="20"/>
        </w:rPr>
        <w:t>Fideicomisos de los cuales es fideicomitente o fideicomisario, y contratos análogos, incluyendo mandatos de los cuales es parte.</w:t>
      </w:r>
    </w:p>
    <w:p w14:paraId="46AD1132" w14:textId="77777777" w:rsidR="00A94604" w:rsidRPr="00A17DD1" w:rsidRDefault="00A94604" w:rsidP="00CB41C4">
      <w:pPr>
        <w:tabs>
          <w:tab w:val="left" w:leader="underscore" w:pos="9639"/>
        </w:tabs>
        <w:spacing w:after="0" w:line="240" w:lineRule="auto"/>
        <w:jc w:val="both"/>
        <w:rPr>
          <w:rFonts w:ascii="Arial" w:hAnsi="Arial" w:cs="Arial"/>
          <w:i/>
          <w:iCs/>
          <w:sz w:val="20"/>
          <w:szCs w:val="20"/>
        </w:rPr>
      </w:pPr>
    </w:p>
    <w:p w14:paraId="642A4B90" w14:textId="3D35ED45" w:rsidR="00CB41C4" w:rsidRDefault="00A94604" w:rsidP="00CB41C4">
      <w:pPr>
        <w:tabs>
          <w:tab w:val="left" w:leader="underscore" w:pos="9639"/>
        </w:tabs>
        <w:spacing w:after="0" w:line="240" w:lineRule="auto"/>
        <w:jc w:val="both"/>
        <w:rPr>
          <w:rFonts w:ascii="Arial" w:hAnsi="Arial" w:cs="Arial"/>
          <w:i/>
          <w:iCs/>
          <w:sz w:val="20"/>
          <w:szCs w:val="20"/>
        </w:rPr>
      </w:pPr>
      <w:r w:rsidRPr="00A17DD1">
        <w:rPr>
          <w:rFonts w:ascii="Arial" w:hAnsi="Arial" w:cs="Arial"/>
          <w:i/>
          <w:iCs/>
          <w:sz w:val="20"/>
          <w:szCs w:val="20"/>
        </w:rPr>
        <w:t>Sin información que revelar.</w:t>
      </w:r>
    </w:p>
    <w:p w14:paraId="58DC43C3" w14:textId="15206590" w:rsidR="003F37B2" w:rsidRDefault="003F37B2" w:rsidP="00CB41C4">
      <w:pPr>
        <w:tabs>
          <w:tab w:val="left" w:leader="underscore" w:pos="9639"/>
        </w:tabs>
        <w:spacing w:after="0" w:line="240" w:lineRule="auto"/>
        <w:jc w:val="both"/>
        <w:rPr>
          <w:rFonts w:ascii="Arial" w:hAnsi="Arial" w:cs="Arial"/>
          <w:i/>
          <w:iCs/>
          <w:sz w:val="20"/>
          <w:szCs w:val="20"/>
        </w:rPr>
      </w:pPr>
    </w:p>
    <w:p w14:paraId="12E280BB" w14:textId="78797843" w:rsidR="007D1E76" w:rsidRPr="00A17DD1" w:rsidRDefault="006F77A8" w:rsidP="000C3365">
      <w:pPr>
        <w:pStyle w:val="Ttulo2"/>
        <w:rPr>
          <w:rFonts w:ascii="Arial" w:hAnsi="Arial" w:cs="Arial"/>
          <w:b/>
          <w:color w:val="auto"/>
          <w:sz w:val="20"/>
          <w:szCs w:val="20"/>
        </w:rPr>
      </w:pPr>
      <w:bookmarkStart w:id="3" w:name="_Toc161472869"/>
      <w:r w:rsidRPr="00A17DD1">
        <w:rPr>
          <w:rFonts w:ascii="Arial" w:hAnsi="Arial" w:cs="Arial"/>
          <w:b/>
          <w:color w:val="auto"/>
          <w:sz w:val="20"/>
          <w:szCs w:val="20"/>
        </w:rPr>
        <w:t>4</w:t>
      </w:r>
      <w:r w:rsidR="007D1E76" w:rsidRPr="00A17DD1">
        <w:rPr>
          <w:rFonts w:ascii="Arial" w:hAnsi="Arial" w:cs="Arial"/>
          <w:b/>
          <w:color w:val="auto"/>
          <w:sz w:val="20"/>
          <w:szCs w:val="20"/>
        </w:rPr>
        <w:t>. Bases de Preparació</w:t>
      </w:r>
      <w:r w:rsidR="00E00323" w:rsidRPr="00A17DD1">
        <w:rPr>
          <w:rFonts w:ascii="Arial" w:hAnsi="Arial" w:cs="Arial"/>
          <w:b/>
          <w:color w:val="auto"/>
          <w:sz w:val="20"/>
          <w:szCs w:val="20"/>
        </w:rPr>
        <w:t>n de los Estados Financieros:</w:t>
      </w:r>
      <w:bookmarkEnd w:id="3"/>
    </w:p>
    <w:p w14:paraId="1671328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sobre:</w:t>
      </w:r>
    </w:p>
    <w:p w14:paraId="0FABCEB8"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4D26176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Si se ha observado la normatividad emitida por el CONAC y las disposiciones legales aplicables.</w:t>
      </w:r>
    </w:p>
    <w:p w14:paraId="31DE46C9" w14:textId="0D0A9090" w:rsidR="00A94604" w:rsidRPr="00A17DD1" w:rsidRDefault="00A94604" w:rsidP="00A94604">
      <w:pPr>
        <w:jc w:val="both"/>
        <w:rPr>
          <w:rFonts w:ascii="Arial" w:hAnsi="Arial" w:cs="Arial"/>
          <w:sz w:val="20"/>
          <w:szCs w:val="20"/>
        </w:rPr>
      </w:pPr>
      <w:r w:rsidRPr="00A17DD1">
        <w:rPr>
          <w:rFonts w:ascii="Arial" w:hAnsi="Arial" w:cs="Arial"/>
          <w:sz w:val="20"/>
          <w:szCs w:val="20"/>
        </w:rPr>
        <w:t>Las Bases de Preparación de los Estados Financieros, sí observan en cierta medida la normatividad emitida por el CONAC y las disposiciones legales aplicables.</w:t>
      </w:r>
    </w:p>
    <w:p w14:paraId="58B0067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3F52BD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00BE9D44" w14:textId="77777777" w:rsidR="00A94604" w:rsidRPr="00A17DD1" w:rsidRDefault="00A94604" w:rsidP="00A94604">
      <w:pPr>
        <w:spacing w:after="0" w:line="240" w:lineRule="auto"/>
        <w:jc w:val="both"/>
        <w:rPr>
          <w:rFonts w:ascii="Arial" w:hAnsi="Arial" w:cs="Arial"/>
          <w:sz w:val="20"/>
          <w:szCs w:val="20"/>
          <w:lang w:val="es-ES_tradnl"/>
        </w:rPr>
      </w:pPr>
    </w:p>
    <w:p w14:paraId="4739B034" w14:textId="31D2D83E" w:rsidR="00A94604" w:rsidRPr="00A17DD1" w:rsidRDefault="00A94604" w:rsidP="00A94604">
      <w:pPr>
        <w:spacing w:after="0" w:line="240" w:lineRule="auto"/>
        <w:jc w:val="both"/>
        <w:rPr>
          <w:rFonts w:ascii="Arial" w:hAnsi="Arial" w:cs="Arial"/>
          <w:sz w:val="20"/>
          <w:szCs w:val="20"/>
        </w:rPr>
      </w:pPr>
      <w:r w:rsidRPr="00A17DD1">
        <w:rPr>
          <w:rFonts w:ascii="Arial" w:hAnsi="Arial" w:cs="Arial"/>
          <w:sz w:val="20"/>
          <w:szCs w:val="20"/>
          <w:lang w:val="es-ES_tradnl"/>
        </w:rPr>
        <w:t xml:space="preserve">Al tener conocimiento sobre los documentos emitidos por el CONAC, se comprende lo antes mencionado. </w:t>
      </w:r>
    </w:p>
    <w:p w14:paraId="2DCF252C"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ED1C1ED" w14:textId="784B4DD1"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c)</w:t>
      </w:r>
      <w:r w:rsidRPr="00A17DD1">
        <w:rPr>
          <w:rFonts w:ascii="Arial" w:hAnsi="Arial" w:cs="Arial"/>
          <w:sz w:val="20"/>
          <w:szCs w:val="20"/>
        </w:rPr>
        <w:t xml:space="preserve"> </w:t>
      </w:r>
      <w:r w:rsidR="00A6346D" w:rsidRPr="00A17DD1">
        <w:rPr>
          <w:rFonts w:ascii="Arial" w:hAnsi="Arial" w:cs="Arial"/>
          <w:sz w:val="20"/>
          <w:szCs w:val="20"/>
        </w:rPr>
        <w:t>Postulados básicos de Contabilidad Gubernamental (PBCG)</w:t>
      </w:r>
      <w:r w:rsidRPr="00A17DD1">
        <w:rPr>
          <w:rFonts w:ascii="Arial" w:hAnsi="Arial" w:cs="Arial"/>
          <w:sz w:val="20"/>
          <w:szCs w:val="20"/>
        </w:rPr>
        <w:t>.</w:t>
      </w:r>
    </w:p>
    <w:p w14:paraId="3DE4C15C" w14:textId="77777777" w:rsidR="00A94604" w:rsidRPr="00A17DD1" w:rsidRDefault="00A94604" w:rsidP="00A94604">
      <w:pPr>
        <w:jc w:val="both"/>
        <w:rPr>
          <w:rFonts w:ascii="Arial" w:hAnsi="Arial" w:cs="Arial"/>
          <w:sz w:val="20"/>
          <w:szCs w:val="20"/>
        </w:rPr>
      </w:pPr>
    </w:p>
    <w:p w14:paraId="4A9DF195" w14:textId="4DE8532D" w:rsidR="00A94604" w:rsidRPr="00A17DD1" w:rsidRDefault="00A94604" w:rsidP="00A94604">
      <w:pPr>
        <w:jc w:val="both"/>
        <w:rPr>
          <w:rFonts w:ascii="Arial" w:hAnsi="Arial" w:cs="Arial"/>
          <w:sz w:val="20"/>
          <w:szCs w:val="20"/>
        </w:rPr>
      </w:pPr>
      <w:r w:rsidRPr="00A17DD1">
        <w:rPr>
          <w:rFonts w:ascii="Arial" w:hAnsi="Arial" w:cs="Arial"/>
          <w:sz w:val="20"/>
          <w:szCs w:val="20"/>
        </w:rPr>
        <w:t>Las Bases de Preparación de los Estados Financieros aplican los Postulados Básicos de Registro Contable, el devengo del ingreso y del egreso, están considerados dentro de los diferentes rubros de la información financiera.</w:t>
      </w:r>
    </w:p>
    <w:p w14:paraId="1CC2D59E"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989D893" w14:textId="6A08B59B"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d)</w:t>
      </w:r>
      <w:r w:rsidRPr="00A17DD1">
        <w:rPr>
          <w:rFonts w:ascii="Arial" w:hAnsi="Arial" w:cs="Arial"/>
          <w:sz w:val="20"/>
          <w:szCs w:val="20"/>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w:t>
      </w:r>
      <w:r w:rsidR="0043078C" w:rsidRPr="00A17DD1">
        <w:rPr>
          <w:rFonts w:ascii="Arial" w:hAnsi="Arial" w:cs="Arial"/>
          <w:sz w:val="20"/>
          <w:szCs w:val="20"/>
        </w:rPr>
        <w:t>Marco Conceptual de Contabilidad Gubernamental (MCCG) y sus modificaciones.</w:t>
      </w:r>
    </w:p>
    <w:p w14:paraId="35BD2F99" w14:textId="77777777" w:rsidR="00A94604" w:rsidRPr="00A17DD1" w:rsidRDefault="00A94604" w:rsidP="00A94604">
      <w:pPr>
        <w:spacing w:after="0" w:line="240" w:lineRule="auto"/>
        <w:jc w:val="both"/>
        <w:rPr>
          <w:rFonts w:ascii="Arial" w:hAnsi="Arial" w:cs="Arial"/>
          <w:sz w:val="20"/>
          <w:szCs w:val="20"/>
        </w:rPr>
      </w:pPr>
    </w:p>
    <w:p w14:paraId="7907BF56" w14:textId="01CD22D0" w:rsidR="00A94604" w:rsidRPr="00A17DD1" w:rsidRDefault="00A94604" w:rsidP="00A94604">
      <w:pPr>
        <w:spacing w:after="0" w:line="240" w:lineRule="auto"/>
        <w:jc w:val="both"/>
        <w:rPr>
          <w:rFonts w:ascii="Arial" w:hAnsi="Arial" w:cs="Arial"/>
          <w:sz w:val="20"/>
          <w:szCs w:val="20"/>
        </w:rPr>
      </w:pPr>
      <w:r w:rsidRPr="00A17DD1">
        <w:rPr>
          <w:rFonts w:ascii="Arial" w:hAnsi="Arial" w:cs="Arial"/>
          <w:sz w:val="20"/>
          <w:szCs w:val="20"/>
        </w:rPr>
        <w:t>No aplicamos dicha normatividad supletoria.</w:t>
      </w:r>
    </w:p>
    <w:p w14:paraId="02977AB3"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084AD24A" w14:textId="4A679E5F"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e)</w:t>
      </w:r>
      <w:r w:rsidRPr="00A17DD1">
        <w:rPr>
          <w:rFonts w:ascii="Arial" w:hAnsi="Arial" w:cs="Arial"/>
          <w:sz w:val="20"/>
          <w:szCs w:val="20"/>
        </w:rPr>
        <w:t xml:space="preserve"> Para las entidades que por primera vez estén implementando la base </w:t>
      </w:r>
      <w:r w:rsidR="0086420E" w:rsidRPr="00A17DD1">
        <w:rPr>
          <w:rFonts w:ascii="Arial" w:hAnsi="Arial" w:cs="Arial"/>
          <w:sz w:val="20"/>
          <w:szCs w:val="20"/>
        </w:rPr>
        <w:t xml:space="preserve">de </w:t>
      </w:r>
      <w:r w:rsidRPr="00A17DD1">
        <w:rPr>
          <w:rFonts w:ascii="Arial" w:hAnsi="Arial" w:cs="Arial"/>
          <w:sz w:val="20"/>
          <w:szCs w:val="20"/>
        </w:rPr>
        <w:t>devengado de acuerdo a la Ley de Contabilidad, deberán:</w:t>
      </w:r>
    </w:p>
    <w:p w14:paraId="3972094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6DA893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*Revelar las nuevas políticas de reconocimiento:</w:t>
      </w:r>
    </w:p>
    <w:p w14:paraId="75AC3EA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BEBABB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*Plan de implementación:</w:t>
      </w:r>
    </w:p>
    <w:p w14:paraId="3B6D915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56D764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*Revelar los cambios en las políticas, la clasificación y medición de las mismas, así como su impacto en la información financiera:</w:t>
      </w:r>
    </w:p>
    <w:p w14:paraId="57326D16" w14:textId="77777777" w:rsidR="006F0687" w:rsidRPr="00A17DD1" w:rsidRDefault="006F0687" w:rsidP="006F0687">
      <w:pPr>
        <w:tabs>
          <w:tab w:val="left" w:leader="underscore" w:pos="9639"/>
        </w:tabs>
        <w:spacing w:after="0" w:line="240" w:lineRule="auto"/>
        <w:jc w:val="both"/>
        <w:rPr>
          <w:rFonts w:ascii="Arial" w:hAnsi="Arial" w:cs="Arial"/>
          <w:sz w:val="20"/>
          <w:szCs w:val="20"/>
        </w:rPr>
      </w:pPr>
    </w:p>
    <w:p w14:paraId="71521D40" w14:textId="25A82D8F" w:rsidR="006F0687" w:rsidRPr="00A17DD1" w:rsidRDefault="006F0687" w:rsidP="006F0687">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w:t>
      </w:r>
      <w:r w:rsidR="00D546B2" w:rsidRPr="00A17DD1">
        <w:rPr>
          <w:rFonts w:ascii="Arial" w:hAnsi="Arial" w:cs="Arial"/>
          <w:sz w:val="20"/>
          <w:szCs w:val="20"/>
        </w:rPr>
        <w:t>Presentar los últimos estados financieros con la normatividad anteriormente utilizada con las nuevas políticas para fines de comparación en la transición a la base de devengado.</w:t>
      </w:r>
    </w:p>
    <w:p w14:paraId="158EC49E" w14:textId="3450B081" w:rsidR="007D1E76" w:rsidRPr="00A17DD1" w:rsidRDefault="007D1E76" w:rsidP="00CB41C4">
      <w:pPr>
        <w:tabs>
          <w:tab w:val="left" w:leader="underscore" w:pos="9639"/>
        </w:tabs>
        <w:spacing w:after="0" w:line="240" w:lineRule="auto"/>
        <w:jc w:val="both"/>
        <w:rPr>
          <w:rFonts w:ascii="Arial" w:hAnsi="Arial" w:cs="Arial"/>
          <w:sz w:val="20"/>
          <w:szCs w:val="20"/>
        </w:rPr>
      </w:pPr>
    </w:p>
    <w:p w14:paraId="3349E1CE" w14:textId="77777777" w:rsidR="00A94604" w:rsidRPr="00A17DD1" w:rsidRDefault="00A94604" w:rsidP="00A94604">
      <w:pPr>
        <w:spacing w:after="0" w:line="240" w:lineRule="auto"/>
        <w:jc w:val="both"/>
        <w:rPr>
          <w:rFonts w:ascii="Arial" w:hAnsi="Arial" w:cs="Arial"/>
          <w:sz w:val="20"/>
          <w:szCs w:val="20"/>
        </w:rPr>
      </w:pPr>
      <w:r w:rsidRPr="00A17DD1">
        <w:rPr>
          <w:rFonts w:ascii="Arial" w:hAnsi="Arial" w:cs="Arial"/>
          <w:sz w:val="20"/>
          <w:szCs w:val="20"/>
        </w:rPr>
        <w:t>No aplicamos dicha normatividad supletoria.</w:t>
      </w:r>
    </w:p>
    <w:p w14:paraId="1690278C" w14:textId="77777777" w:rsidR="00A94604" w:rsidRPr="00A17DD1" w:rsidRDefault="00A94604" w:rsidP="00CB41C4">
      <w:pPr>
        <w:tabs>
          <w:tab w:val="left" w:leader="underscore" w:pos="9639"/>
        </w:tabs>
        <w:spacing w:after="0" w:line="240" w:lineRule="auto"/>
        <w:jc w:val="both"/>
        <w:rPr>
          <w:rFonts w:ascii="Arial" w:hAnsi="Arial" w:cs="Arial"/>
          <w:sz w:val="20"/>
          <w:szCs w:val="20"/>
        </w:rPr>
      </w:pPr>
    </w:p>
    <w:p w14:paraId="7025E7E0" w14:textId="4C87F38F" w:rsidR="007D1E76" w:rsidRPr="00A17DD1" w:rsidRDefault="007F699D" w:rsidP="000C3365">
      <w:pPr>
        <w:pStyle w:val="Ttulo2"/>
        <w:rPr>
          <w:rFonts w:ascii="Arial" w:hAnsi="Arial" w:cs="Arial"/>
          <w:b/>
          <w:sz w:val="20"/>
          <w:szCs w:val="20"/>
        </w:rPr>
      </w:pPr>
      <w:bookmarkStart w:id="4" w:name="_Toc161472870"/>
      <w:r w:rsidRPr="00A17DD1">
        <w:rPr>
          <w:rFonts w:ascii="Arial" w:hAnsi="Arial" w:cs="Arial"/>
          <w:b/>
          <w:color w:val="auto"/>
          <w:sz w:val="20"/>
          <w:szCs w:val="20"/>
        </w:rPr>
        <w:t>5</w:t>
      </w:r>
      <w:r w:rsidR="007D1E76" w:rsidRPr="00A17DD1">
        <w:rPr>
          <w:rFonts w:ascii="Arial" w:hAnsi="Arial" w:cs="Arial"/>
          <w:b/>
          <w:color w:val="auto"/>
          <w:sz w:val="20"/>
          <w:szCs w:val="20"/>
        </w:rPr>
        <w:t>. Políticas de</w:t>
      </w:r>
      <w:r w:rsidR="00E00323" w:rsidRPr="00A17DD1">
        <w:rPr>
          <w:rFonts w:ascii="Arial" w:hAnsi="Arial" w:cs="Arial"/>
          <w:b/>
          <w:color w:val="auto"/>
          <w:sz w:val="20"/>
          <w:szCs w:val="20"/>
        </w:rPr>
        <w:t xml:space="preserve"> Contabilidad Significativas:</w:t>
      </w:r>
      <w:bookmarkEnd w:id="4"/>
    </w:p>
    <w:p w14:paraId="685C2AC3" w14:textId="77777777" w:rsidR="00AF4375" w:rsidRPr="00A17DD1" w:rsidRDefault="00AF4375" w:rsidP="00AF4375">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Son los principios, bases, reglas y procedimientos específicos adoptados por el ente público en la elaboración y presentación de sus estados financieros. </w:t>
      </w:r>
    </w:p>
    <w:p w14:paraId="793D8065" w14:textId="32E17174" w:rsidR="007D1E76" w:rsidRPr="00A17DD1" w:rsidRDefault="00AF4375" w:rsidP="00AF4375">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El ente público seleccionará y aplicará sus políticas contables de manera congruente para transacciones, otros eventos y condiciones que sean similares.</w:t>
      </w:r>
    </w:p>
    <w:p w14:paraId="4773A4FE"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sobre:</w:t>
      </w:r>
    </w:p>
    <w:p w14:paraId="3A8D795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073F87B" w14:textId="572550B7" w:rsidR="007D1E76"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w:t>
      </w:r>
      <w:r w:rsidR="00FC1AE8" w:rsidRPr="00A17DD1">
        <w:rPr>
          <w:rFonts w:ascii="Arial" w:hAnsi="Arial" w:cs="Arial"/>
          <w:sz w:val="20"/>
          <w:szCs w:val="20"/>
        </w:rPr>
        <w:t>Actualización: se informará del método utilizado para la actualización del valor de los activos, pasivos y Hacienda Pública/Patrimonio y las razones de dicha elección. Así como informar de la desconexión o reconexión inflacionaria</w:t>
      </w:r>
      <w:r w:rsidRPr="00A17DD1">
        <w:rPr>
          <w:rFonts w:ascii="Arial" w:hAnsi="Arial" w:cs="Arial"/>
          <w:sz w:val="20"/>
          <w:szCs w:val="20"/>
        </w:rPr>
        <w:t>:</w:t>
      </w:r>
    </w:p>
    <w:p w14:paraId="4D966F6C"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08CF689C" w14:textId="6BFBDFC5" w:rsidR="00A94604" w:rsidRPr="00A17DD1" w:rsidRDefault="00A94604" w:rsidP="00A94604">
      <w:pPr>
        <w:spacing w:after="0" w:line="240" w:lineRule="auto"/>
        <w:jc w:val="both"/>
        <w:rPr>
          <w:rFonts w:ascii="Arial" w:hAnsi="Arial" w:cs="Arial"/>
          <w:sz w:val="20"/>
          <w:szCs w:val="20"/>
        </w:rPr>
      </w:pPr>
      <w:r w:rsidRPr="00A17DD1">
        <w:rPr>
          <w:rFonts w:ascii="Arial" w:hAnsi="Arial" w:cs="Arial"/>
          <w:sz w:val="20"/>
          <w:szCs w:val="20"/>
        </w:rPr>
        <w:t>A la fecha no se ha implementado los criterios de actualización porque no teníamos sistema, ahora con la integración al sistema rector, solicitaremos la actualización por actuario en el caso de los inmuebles, apegándonos a las instrucciones que nos dicte la Dirección de Control Patrimonial, así como la DGCG.</w:t>
      </w:r>
    </w:p>
    <w:p w14:paraId="38C472BE" w14:textId="77777777" w:rsidR="00A94604" w:rsidRPr="00A17DD1" w:rsidRDefault="00A94604" w:rsidP="00A94604">
      <w:pPr>
        <w:spacing w:after="0" w:line="240" w:lineRule="auto"/>
        <w:jc w:val="both"/>
        <w:rPr>
          <w:rFonts w:ascii="Arial" w:hAnsi="Arial" w:cs="Arial"/>
          <w:sz w:val="20"/>
          <w:szCs w:val="20"/>
        </w:rPr>
      </w:pPr>
    </w:p>
    <w:p w14:paraId="3D8017C2" w14:textId="13DA86EE"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lastRenderedPageBreak/>
        <w:t>b)</w:t>
      </w:r>
      <w:r w:rsidRPr="00A17DD1">
        <w:rPr>
          <w:rFonts w:ascii="Arial" w:hAnsi="Arial" w:cs="Arial"/>
          <w:sz w:val="20"/>
          <w:szCs w:val="20"/>
        </w:rPr>
        <w:t xml:space="preserve"> </w:t>
      </w:r>
      <w:r w:rsidR="001C710C" w:rsidRPr="00A17DD1">
        <w:rPr>
          <w:rFonts w:ascii="Arial" w:hAnsi="Arial" w:cs="Arial"/>
          <w:sz w:val="20"/>
          <w:szCs w:val="20"/>
        </w:rPr>
        <w:t>Informar sobre la realización de operaciones en el extranjero y de sus efectos en la información financiera gubernamental, considerando entre otros el importe de las variaciones cambiarias reconocidas en el resultado (ahorro o desahorro)</w:t>
      </w:r>
      <w:r w:rsidRPr="00A17DD1">
        <w:rPr>
          <w:rFonts w:ascii="Arial" w:hAnsi="Arial" w:cs="Arial"/>
          <w:sz w:val="20"/>
          <w:szCs w:val="20"/>
        </w:rPr>
        <w:t>:</w:t>
      </w:r>
    </w:p>
    <w:p w14:paraId="5F0F08FA" w14:textId="77777777" w:rsidR="00A94604" w:rsidRPr="00A17DD1" w:rsidRDefault="00A94604" w:rsidP="00A94604">
      <w:pPr>
        <w:spacing w:after="0" w:line="240" w:lineRule="auto"/>
        <w:jc w:val="both"/>
        <w:rPr>
          <w:rFonts w:ascii="Arial" w:hAnsi="Arial" w:cs="Arial"/>
          <w:i/>
          <w:iCs/>
          <w:sz w:val="20"/>
          <w:szCs w:val="20"/>
        </w:rPr>
      </w:pPr>
    </w:p>
    <w:p w14:paraId="403DA491" w14:textId="1BD54043" w:rsidR="00A94604" w:rsidRPr="00A17DD1" w:rsidRDefault="00A94604" w:rsidP="00A94604">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35FCED94"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433324F3" w14:textId="626DBDA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c)</w:t>
      </w:r>
      <w:r w:rsidRPr="00A17DD1">
        <w:rPr>
          <w:rFonts w:ascii="Arial" w:hAnsi="Arial" w:cs="Arial"/>
          <w:sz w:val="20"/>
          <w:szCs w:val="20"/>
        </w:rPr>
        <w:t xml:space="preserve"> </w:t>
      </w:r>
      <w:r w:rsidR="00E9132F" w:rsidRPr="00A17DD1">
        <w:rPr>
          <w:rFonts w:ascii="Arial" w:hAnsi="Arial" w:cs="Arial"/>
          <w:sz w:val="20"/>
          <w:szCs w:val="20"/>
        </w:rPr>
        <w:t>Método de valuación de la inversión en acciones de Compañías subsidiarias no consolidadas y asociadas</w:t>
      </w:r>
      <w:r w:rsidRPr="00A17DD1">
        <w:rPr>
          <w:rFonts w:ascii="Arial" w:hAnsi="Arial" w:cs="Arial"/>
          <w:sz w:val="20"/>
          <w:szCs w:val="20"/>
        </w:rPr>
        <w:t>:</w:t>
      </w:r>
    </w:p>
    <w:p w14:paraId="19355C8E" w14:textId="77777777" w:rsidR="00A94604" w:rsidRPr="00A17DD1" w:rsidRDefault="00A94604" w:rsidP="00A94604">
      <w:pPr>
        <w:spacing w:after="0" w:line="240" w:lineRule="auto"/>
        <w:jc w:val="both"/>
        <w:rPr>
          <w:rFonts w:ascii="Arial" w:hAnsi="Arial" w:cs="Arial"/>
          <w:i/>
          <w:iCs/>
          <w:sz w:val="20"/>
          <w:szCs w:val="20"/>
        </w:rPr>
      </w:pPr>
    </w:p>
    <w:p w14:paraId="5ED85954" w14:textId="59EDF74E" w:rsidR="00A94604" w:rsidRPr="00A17DD1" w:rsidRDefault="00A94604" w:rsidP="00A94604">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2EA4933C"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AB1226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d)</w:t>
      </w:r>
      <w:r w:rsidRPr="00A17DD1">
        <w:rPr>
          <w:rFonts w:ascii="Arial" w:hAnsi="Arial" w:cs="Arial"/>
          <w:sz w:val="20"/>
          <w:szCs w:val="20"/>
        </w:rPr>
        <w:t xml:space="preserve"> Sistema y método de valuación de inventarios y costo de lo vendido:</w:t>
      </w:r>
    </w:p>
    <w:p w14:paraId="0B282127" w14:textId="581E2417" w:rsidR="007D1E76" w:rsidRPr="00A17DD1" w:rsidRDefault="007D1E76" w:rsidP="00CB41C4">
      <w:pPr>
        <w:tabs>
          <w:tab w:val="left" w:leader="underscore" w:pos="9639"/>
        </w:tabs>
        <w:spacing w:after="0" w:line="240" w:lineRule="auto"/>
        <w:jc w:val="both"/>
        <w:rPr>
          <w:rFonts w:ascii="Arial" w:hAnsi="Arial" w:cs="Arial"/>
          <w:sz w:val="20"/>
          <w:szCs w:val="20"/>
        </w:rPr>
      </w:pPr>
    </w:p>
    <w:p w14:paraId="2BCD5E90" w14:textId="77777777" w:rsidR="00A94604" w:rsidRPr="00A17DD1" w:rsidRDefault="00A94604" w:rsidP="00A94604">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175B7CBF" w14:textId="22427D1C" w:rsidR="00A94604" w:rsidRPr="00A17DD1" w:rsidRDefault="00A94604" w:rsidP="00CB41C4">
      <w:pPr>
        <w:tabs>
          <w:tab w:val="left" w:leader="underscore" w:pos="9639"/>
        </w:tabs>
        <w:spacing w:after="0" w:line="240" w:lineRule="auto"/>
        <w:jc w:val="both"/>
        <w:rPr>
          <w:rFonts w:ascii="Arial" w:hAnsi="Arial" w:cs="Arial"/>
          <w:sz w:val="20"/>
          <w:szCs w:val="20"/>
        </w:rPr>
      </w:pPr>
    </w:p>
    <w:p w14:paraId="1D8C904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e)</w:t>
      </w:r>
      <w:r w:rsidRPr="00A17DD1">
        <w:rPr>
          <w:rFonts w:ascii="Arial" w:hAnsi="Arial" w:cs="Arial"/>
          <w:sz w:val="20"/>
          <w:szCs w:val="20"/>
        </w:rPr>
        <w:t xml:space="preserve"> Beneficios a empleados: revelar el cálculo de la reserva actuarial, valor presente de los ingresos esperados comparado con el valor presente de la estimación de gastos tanto de los beneficiarios actuales como futuros:</w:t>
      </w:r>
    </w:p>
    <w:p w14:paraId="5EC60131" w14:textId="77777777" w:rsidR="00A94604" w:rsidRPr="00A17DD1" w:rsidRDefault="00A94604" w:rsidP="00A94604">
      <w:pPr>
        <w:spacing w:after="0" w:line="240" w:lineRule="auto"/>
        <w:jc w:val="both"/>
        <w:rPr>
          <w:rFonts w:ascii="Arial" w:hAnsi="Arial" w:cs="Arial"/>
          <w:i/>
          <w:iCs/>
          <w:sz w:val="20"/>
          <w:szCs w:val="20"/>
        </w:rPr>
      </w:pPr>
    </w:p>
    <w:p w14:paraId="28F2F9A6" w14:textId="0B2D2A8C" w:rsidR="00A94604" w:rsidRPr="00A17DD1" w:rsidRDefault="00A94604" w:rsidP="00A94604">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3088248F" w14:textId="71EF43BC" w:rsidR="00A94604" w:rsidRPr="00A17DD1" w:rsidRDefault="00A94604" w:rsidP="00CB41C4">
      <w:pPr>
        <w:tabs>
          <w:tab w:val="left" w:leader="underscore" w:pos="9639"/>
        </w:tabs>
        <w:spacing w:after="0" w:line="240" w:lineRule="auto"/>
        <w:jc w:val="both"/>
        <w:rPr>
          <w:rFonts w:ascii="Arial" w:hAnsi="Arial" w:cs="Arial"/>
          <w:b/>
          <w:sz w:val="20"/>
          <w:szCs w:val="20"/>
        </w:rPr>
      </w:pPr>
    </w:p>
    <w:p w14:paraId="6113C381" w14:textId="337BD431"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f)</w:t>
      </w:r>
      <w:r w:rsidRPr="00A17DD1">
        <w:rPr>
          <w:rFonts w:ascii="Arial" w:hAnsi="Arial" w:cs="Arial"/>
          <w:sz w:val="20"/>
          <w:szCs w:val="20"/>
        </w:rPr>
        <w:t xml:space="preserve"> Provisiones: objetivo de su creación, monto y plazo:</w:t>
      </w:r>
    </w:p>
    <w:p w14:paraId="15260ADA" w14:textId="77777777" w:rsidR="000D5EFC" w:rsidRPr="00A17DD1" w:rsidRDefault="000D5EFC" w:rsidP="00CB41C4">
      <w:pPr>
        <w:tabs>
          <w:tab w:val="left" w:leader="underscore" w:pos="9639"/>
        </w:tabs>
        <w:spacing w:after="0" w:line="240" w:lineRule="auto"/>
        <w:jc w:val="both"/>
        <w:rPr>
          <w:rFonts w:ascii="Arial" w:hAnsi="Arial" w:cs="Arial"/>
          <w:b/>
          <w:sz w:val="20"/>
          <w:szCs w:val="20"/>
        </w:rPr>
      </w:pPr>
    </w:p>
    <w:p w14:paraId="73182025" w14:textId="40EA6B91" w:rsidR="000D5EFC" w:rsidRDefault="000D5EFC" w:rsidP="000D5EFC">
      <w:pPr>
        <w:spacing w:after="0" w:line="240" w:lineRule="auto"/>
        <w:jc w:val="both"/>
        <w:rPr>
          <w:rFonts w:ascii="Arial" w:hAnsi="Arial" w:cs="Arial"/>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7C2D7409" w14:textId="77777777" w:rsidR="00A17DD1" w:rsidRPr="00A17DD1" w:rsidRDefault="00A17DD1" w:rsidP="000D5EFC">
      <w:pPr>
        <w:spacing w:after="0" w:line="240" w:lineRule="auto"/>
        <w:jc w:val="both"/>
        <w:rPr>
          <w:rFonts w:ascii="Arial" w:hAnsi="Arial" w:cs="Arial"/>
          <w:color w:val="FF0000"/>
          <w:sz w:val="20"/>
          <w:szCs w:val="20"/>
        </w:rPr>
      </w:pPr>
    </w:p>
    <w:p w14:paraId="5FAFB74E" w14:textId="77777777" w:rsidR="000D5EFC" w:rsidRPr="00A17DD1" w:rsidRDefault="000D5EFC" w:rsidP="00CB41C4">
      <w:pPr>
        <w:tabs>
          <w:tab w:val="left" w:leader="underscore" w:pos="9639"/>
        </w:tabs>
        <w:spacing w:after="0" w:line="240" w:lineRule="auto"/>
        <w:jc w:val="both"/>
        <w:rPr>
          <w:rFonts w:ascii="Arial" w:hAnsi="Arial" w:cs="Arial"/>
          <w:b/>
          <w:sz w:val="20"/>
          <w:szCs w:val="20"/>
        </w:rPr>
      </w:pPr>
    </w:p>
    <w:p w14:paraId="4190001D" w14:textId="6F7B13B3"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g)</w:t>
      </w:r>
      <w:r w:rsidRPr="00A17DD1">
        <w:rPr>
          <w:rFonts w:ascii="Arial" w:hAnsi="Arial" w:cs="Arial"/>
          <w:sz w:val="20"/>
          <w:szCs w:val="20"/>
        </w:rPr>
        <w:t xml:space="preserve"> Reservas: objetivo de su creación, monto y plazo:</w:t>
      </w:r>
    </w:p>
    <w:p w14:paraId="48187B92" w14:textId="63E433ED" w:rsidR="007D1E76" w:rsidRPr="00A17DD1" w:rsidRDefault="007D1E76" w:rsidP="00CB41C4">
      <w:pPr>
        <w:tabs>
          <w:tab w:val="left" w:leader="underscore" w:pos="9639"/>
        </w:tabs>
        <w:spacing w:after="0" w:line="240" w:lineRule="auto"/>
        <w:jc w:val="both"/>
        <w:rPr>
          <w:rFonts w:ascii="Arial" w:hAnsi="Arial" w:cs="Arial"/>
          <w:sz w:val="20"/>
          <w:szCs w:val="20"/>
        </w:rPr>
      </w:pPr>
    </w:p>
    <w:p w14:paraId="555BE828" w14:textId="77777777" w:rsidR="000D5EFC" w:rsidRPr="00A17DD1" w:rsidRDefault="000D5EFC" w:rsidP="000D5EFC">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w:t>
      </w:r>
    </w:p>
    <w:p w14:paraId="44A8EC48" w14:textId="1F7D5030" w:rsidR="000D5EFC" w:rsidRPr="00A17DD1" w:rsidRDefault="000D5EFC" w:rsidP="00CB41C4">
      <w:pPr>
        <w:tabs>
          <w:tab w:val="left" w:leader="underscore" w:pos="9639"/>
        </w:tabs>
        <w:spacing w:after="0" w:line="240" w:lineRule="auto"/>
        <w:jc w:val="both"/>
        <w:rPr>
          <w:rFonts w:ascii="Arial" w:hAnsi="Arial" w:cs="Arial"/>
          <w:sz w:val="20"/>
          <w:szCs w:val="20"/>
        </w:rPr>
      </w:pPr>
    </w:p>
    <w:p w14:paraId="257A0699" w14:textId="77777777" w:rsidR="000D5EFC" w:rsidRPr="00A17DD1" w:rsidRDefault="000D5EFC" w:rsidP="00CB41C4">
      <w:pPr>
        <w:tabs>
          <w:tab w:val="left" w:leader="underscore" w:pos="9639"/>
        </w:tabs>
        <w:spacing w:after="0" w:line="240" w:lineRule="auto"/>
        <w:jc w:val="both"/>
        <w:rPr>
          <w:rFonts w:ascii="Arial" w:hAnsi="Arial" w:cs="Arial"/>
          <w:sz w:val="20"/>
          <w:szCs w:val="20"/>
        </w:rPr>
      </w:pPr>
    </w:p>
    <w:p w14:paraId="6E497DBB" w14:textId="576113E0"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h)</w:t>
      </w:r>
      <w:r w:rsidRPr="00A17DD1">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42445B21" w14:textId="77777777" w:rsidR="000D5EFC" w:rsidRPr="00A17DD1" w:rsidRDefault="000D5EFC" w:rsidP="00CB41C4">
      <w:pPr>
        <w:tabs>
          <w:tab w:val="left" w:leader="underscore" w:pos="9639"/>
        </w:tabs>
        <w:spacing w:after="0" w:line="240" w:lineRule="auto"/>
        <w:jc w:val="both"/>
        <w:rPr>
          <w:rFonts w:ascii="Arial" w:hAnsi="Arial" w:cs="Arial"/>
          <w:sz w:val="20"/>
          <w:szCs w:val="20"/>
        </w:rPr>
      </w:pPr>
    </w:p>
    <w:p w14:paraId="3E71378F" w14:textId="77777777" w:rsidR="000D5EFC" w:rsidRPr="00A17DD1" w:rsidRDefault="000D5EFC" w:rsidP="000D5EFC">
      <w:pPr>
        <w:jc w:val="both"/>
        <w:rPr>
          <w:rFonts w:ascii="Arial" w:hAnsi="Arial" w:cs="Arial"/>
          <w:sz w:val="20"/>
          <w:szCs w:val="20"/>
        </w:rPr>
      </w:pPr>
      <w:r w:rsidRPr="00A17DD1">
        <w:rPr>
          <w:rFonts w:ascii="Arial" w:hAnsi="Arial" w:cs="Arial"/>
          <w:sz w:val="20"/>
          <w:szCs w:val="20"/>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 y han sido integrados en el manual de contabilidad del Instituto a partir del ejercicio 2019.</w:t>
      </w:r>
    </w:p>
    <w:p w14:paraId="12C8FA9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i)</w:t>
      </w:r>
      <w:r w:rsidRPr="00A17DD1">
        <w:rPr>
          <w:rFonts w:ascii="Arial" w:hAnsi="Arial" w:cs="Arial"/>
          <w:sz w:val="20"/>
          <w:szCs w:val="20"/>
        </w:rPr>
        <w:t xml:space="preserve"> Reclasificaciones: Se deben revelar todos aquellos movimientos entre cuentas por efectos de cambios en los tipos de operaciones:</w:t>
      </w:r>
    </w:p>
    <w:p w14:paraId="2B3598D3" w14:textId="77777777" w:rsidR="00A17DD1" w:rsidRDefault="00A17DD1" w:rsidP="000D5EFC">
      <w:pPr>
        <w:ind w:left="567" w:hanging="567"/>
        <w:jc w:val="both"/>
        <w:rPr>
          <w:rFonts w:ascii="Arial" w:hAnsi="Arial" w:cs="Arial"/>
          <w:i/>
          <w:iCs/>
          <w:sz w:val="20"/>
          <w:szCs w:val="20"/>
        </w:rPr>
      </w:pPr>
      <w:bookmarkStart w:id="5" w:name="_Hlk108182202"/>
    </w:p>
    <w:p w14:paraId="7AEFEE0B" w14:textId="76C97FB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bookmarkEnd w:id="5"/>
    <w:p w14:paraId="6E29C8B6" w14:textId="05357674" w:rsidR="007D1E76" w:rsidRDefault="007D1E76" w:rsidP="00CB41C4">
      <w:pPr>
        <w:tabs>
          <w:tab w:val="left" w:leader="underscore" w:pos="9639"/>
        </w:tabs>
        <w:spacing w:after="0" w:line="240" w:lineRule="auto"/>
        <w:jc w:val="both"/>
        <w:rPr>
          <w:rFonts w:ascii="Arial" w:hAnsi="Arial" w:cs="Arial"/>
          <w:sz w:val="20"/>
          <w:szCs w:val="20"/>
        </w:rPr>
      </w:pPr>
    </w:p>
    <w:p w14:paraId="6F0E0167" w14:textId="0758AE47" w:rsidR="00CB28D8" w:rsidRDefault="00CB28D8" w:rsidP="00CB41C4">
      <w:pPr>
        <w:tabs>
          <w:tab w:val="left" w:leader="underscore" w:pos="9639"/>
        </w:tabs>
        <w:spacing w:after="0" w:line="240" w:lineRule="auto"/>
        <w:jc w:val="both"/>
        <w:rPr>
          <w:rFonts w:ascii="Arial" w:hAnsi="Arial" w:cs="Arial"/>
          <w:sz w:val="20"/>
          <w:szCs w:val="20"/>
        </w:rPr>
      </w:pPr>
    </w:p>
    <w:p w14:paraId="702295F5" w14:textId="79DFD2BC" w:rsidR="00CB28D8" w:rsidRDefault="00CB28D8" w:rsidP="00CB41C4">
      <w:pPr>
        <w:tabs>
          <w:tab w:val="left" w:leader="underscore" w:pos="9639"/>
        </w:tabs>
        <w:spacing w:after="0" w:line="240" w:lineRule="auto"/>
        <w:jc w:val="both"/>
        <w:rPr>
          <w:rFonts w:ascii="Arial" w:hAnsi="Arial" w:cs="Arial"/>
          <w:sz w:val="20"/>
          <w:szCs w:val="20"/>
        </w:rPr>
      </w:pPr>
    </w:p>
    <w:p w14:paraId="1AA46485" w14:textId="2FB0FD49" w:rsidR="00CB28D8" w:rsidRDefault="00CB28D8" w:rsidP="00CB41C4">
      <w:pPr>
        <w:tabs>
          <w:tab w:val="left" w:leader="underscore" w:pos="9639"/>
        </w:tabs>
        <w:spacing w:after="0" w:line="240" w:lineRule="auto"/>
        <w:jc w:val="both"/>
        <w:rPr>
          <w:rFonts w:ascii="Arial" w:hAnsi="Arial" w:cs="Arial"/>
          <w:sz w:val="20"/>
          <w:szCs w:val="20"/>
        </w:rPr>
      </w:pPr>
    </w:p>
    <w:p w14:paraId="33F1B17D" w14:textId="5A32C553" w:rsidR="00CB28D8" w:rsidRDefault="00CB28D8" w:rsidP="00CB41C4">
      <w:pPr>
        <w:tabs>
          <w:tab w:val="left" w:leader="underscore" w:pos="9639"/>
        </w:tabs>
        <w:spacing w:after="0" w:line="240" w:lineRule="auto"/>
        <w:jc w:val="both"/>
        <w:rPr>
          <w:rFonts w:ascii="Arial" w:hAnsi="Arial" w:cs="Arial"/>
          <w:sz w:val="20"/>
          <w:szCs w:val="20"/>
        </w:rPr>
      </w:pPr>
    </w:p>
    <w:p w14:paraId="68C8F4D7" w14:textId="0065C755" w:rsidR="00CB28D8" w:rsidRDefault="00CB28D8" w:rsidP="00CB41C4">
      <w:pPr>
        <w:tabs>
          <w:tab w:val="left" w:leader="underscore" w:pos="9639"/>
        </w:tabs>
        <w:spacing w:after="0" w:line="240" w:lineRule="auto"/>
        <w:jc w:val="both"/>
        <w:rPr>
          <w:rFonts w:ascii="Arial" w:hAnsi="Arial" w:cs="Arial"/>
          <w:sz w:val="20"/>
          <w:szCs w:val="20"/>
        </w:rPr>
      </w:pPr>
    </w:p>
    <w:p w14:paraId="5B9CB895" w14:textId="26620885" w:rsidR="00CB28D8" w:rsidRDefault="00CB28D8" w:rsidP="00CB41C4">
      <w:pPr>
        <w:tabs>
          <w:tab w:val="left" w:leader="underscore" w:pos="9639"/>
        </w:tabs>
        <w:spacing w:after="0" w:line="240" w:lineRule="auto"/>
        <w:jc w:val="both"/>
        <w:rPr>
          <w:rFonts w:ascii="Arial" w:hAnsi="Arial" w:cs="Arial"/>
          <w:sz w:val="20"/>
          <w:szCs w:val="20"/>
        </w:rPr>
      </w:pPr>
    </w:p>
    <w:p w14:paraId="19ED96C2" w14:textId="4ABD4C0B" w:rsidR="00CB28D8" w:rsidRDefault="00CB28D8" w:rsidP="00CB41C4">
      <w:pPr>
        <w:tabs>
          <w:tab w:val="left" w:leader="underscore" w:pos="9639"/>
        </w:tabs>
        <w:spacing w:after="0" w:line="240" w:lineRule="auto"/>
        <w:jc w:val="both"/>
        <w:rPr>
          <w:rFonts w:ascii="Arial" w:hAnsi="Arial" w:cs="Arial"/>
          <w:sz w:val="20"/>
          <w:szCs w:val="20"/>
        </w:rPr>
      </w:pPr>
    </w:p>
    <w:p w14:paraId="5B1B2B58" w14:textId="3C5AB7A5" w:rsidR="00CB28D8" w:rsidRDefault="00CB28D8" w:rsidP="00CB41C4">
      <w:pPr>
        <w:tabs>
          <w:tab w:val="left" w:leader="underscore" w:pos="9639"/>
        </w:tabs>
        <w:spacing w:after="0" w:line="240" w:lineRule="auto"/>
        <w:jc w:val="both"/>
        <w:rPr>
          <w:rFonts w:ascii="Arial" w:hAnsi="Arial" w:cs="Arial"/>
          <w:sz w:val="20"/>
          <w:szCs w:val="20"/>
        </w:rPr>
      </w:pPr>
    </w:p>
    <w:p w14:paraId="7F440543" w14:textId="77777777" w:rsidR="00CB28D8" w:rsidRDefault="00CB28D8" w:rsidP="00CB41C4">
      <w:pPr>
        <w:tabs>
          <w:tab w:val="left" w:leader="underscore" w:pos="9639"/>
        </w:tabs>
        <w:spacing w:after="0" w:line="240" w:lineRule="auto"/>
        <w:jc w:val="both"/>
        <w:rPr>
          <w:rFonts w:ascii="Arial" w:hAnsi="Arial" w:cs="Arial"/>
          <w:sz w:val="20"/>
          <w:szCs w:val="20"/>
        </w:rPr>
      </w:pPr>
    </w:p>
    <w:p w14:paraId="1AA35773" w14:textId="075E907A" w:rsidR="008C6383" w:rsidRDefault="008C6383" w:rsidP="00CB41C4">
      <w:pPr>
        <w:tabs>
          <w:tab w:val="left" w:leader="underscore" w:pos="9639"/>
        </w:tabs>
        <w:spacing w:after="0" w:line="240" w:lineRule="auto"/>
        <w:jc w:val="both"/>
        <w:rPr>
          <w:rFonts w:ascii="Arial" w:hAnsi="Arial" w:cs="Arial"/>
          <w:sz w:val="20"/>
          <w:szCs w:val="20"/>
        </w:rPr>
      </w:pPr>
    </w:p>
    <w:p w14:paraId="51D9468D" w14:textId="77777777" w:rsidR="008C6383" w:rsidRPr="00A17DD1" w:rsidRDefault="008C6383" w:rsidP="00CB41C4">
      <w:pPr>
        <w:tabs>
          <w:tab w:val="left" w:leader="underscore" w:pos="9639"/>
        </w:tabs>
        <w:spacing w:after="0" w:line="240" w:lineRule="auto"/>
        <w:jc w:val="both"/>
        <w:rPr>
          <w:rFonts w:ascii="Arial" w:hAnsi="Arial" w:cs="Arial"/>
          <w:sz w:val="20"/>
          <w:szCs w:val="20"/>
        </w:rPr>
      </w:pPr>
    </w:p>
    <w:p w14:paraId="5405EF84" w14:textId="4234AE8B" w:rsidR="007D1E76"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lastRenderedPageBreak/>
        <w:t>j)</w:t>
      </w:r>
      <w:r w:rsidRPr="00A17DD1">
        <w:rPr>
          <w:rFonts w:ascii="Arial" w:hAnsi="Arial" w:cs="Arial"/>
          <w:sz w:val="20"/>
          <w:szCs w:val="20"/>
        </w:rPr>
        <w:t xml:space="preserve"> Depuración y cancelación de saldos:</w:t>
      </w:r>
    </w:p>
    <w:p w14:paraId="7A18E6CE"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30FF96F9" w14:textId="3190DD0A" w:rsidR="000D5EFC" w:rsidRDefault="008C6383" w:rsidP="008C6383">
      <w:pPr>
        <w:jc w:val="both"/>
        <w:rPr>
          <w:rFonts w:ascii="Arial" w:hAnsi="Arial" w:cs="Arial"/>
          <w:i/>
          <w:iCs/>
          <w:sz w:val="20"/>
          <w:szCs w:val="20"/>
        </w:rPr>
      </w:pPr>
      <w:bookmarkStart w:id="6" w:name="_Toc161472871"/>
      <w:r>
        <w:rPr>
          <w:rFonts w:ascii="Arial" w:hAnsi="Arial" w:cs="Arial"/>
          <w:i/>
          <w:iCs/>
          <w:sz w:val="20"/>
          <w:szCs w:val="20"/>
        </w:rPr>
        <w:t xml:space="preserve">En el presente trimestre se depuraron las siguientes cuentas contables del activo, debido a que presentan un saldo de $0.00 y fueron canceladas con la institución bancaria correspondiente por el Instituto: </w:t>
      </w:r>
    </w:p>
    <w:tbl>
      <w:tblPr>
        <w:tblW w:w="9918" w:type="dxa"/>
        <w:tblCellMar>
          <w:left w:w="0" w:type="dxa"/>
          <w:right w:w="0" w:type="dxa"/>
        </w:tblCellMar>
        <w:tblLook w:val="04A0" w:firstRow="1" w:lastRow="0" w:firstColumn="1" w:lastColumn="0" w:noHBand="0" w:noVBand="1"/>
      </w:tblPr>
      <w:tblGrid>
        <w:gridCol w:w="1838"/>
        <w:gridCol w:w="1422"/>
        <w:gridCol w:w="1200"/>
        <w:gridCol w:w="2623"/>
        <w:gridCol w:w="2835"/>
      </w:tblGrid>
      <w:tr w:rsidR="008C6383" w:rsidRPr="008C6383" w14:paraId="75430BFD" w14:textId="77777777" w:rsidTr="008C6383">
        <w:trPr>
          <w:trHeight w:val="675"/>
        </w:trPr>
        <w:tc>
          <w:tcPr>
            <w:tcW w:w="1838"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center"/>
            <w:hideMark/>
          </w:tcPr>
          <w:p w14:paraId="49068339" w14:textId="77777777" w:rsidR="008C6383" w:rsidRPr="008C6383" w:rsidRDefault="008C6383" w:rsidP="008C6383">
            <w:pPr>
              <w:spacing w:after="0" w:line="240" w:lineRule="auto"/>
              <w:jc w:val="center"/>
              <w:rPr>
                <w:rFonts w:ascii="Franklin Gothic Book" w:eastAsia="Times New Roman" w:hAnsi="Franklin Gothic Book"/>
                <w:b/>
                <w:bCs/>
                <w:sz w:val="20"/>
                <w:szCs w:val="20"/>
                <w:lang w:eastAsia="es-MX"/>
              </w:rPr>
            </w:pPr>
            <w:r w:rsidRPr="008C6383">
              <w:rPr>
                <w:rFonts w:ascii="Franklin Gothic Book" w:eastAsia="Times New Roman" w:hAnsi="Franklin Gothic Book"/>
                <w:b/>
                <w:bCs/>
                <w:sz w:val="20"/>
                <w:szCs w:val="20"/>
                <w:lang w:eastAsia="es-MX"/>
              </w:rPr>
              <w:t>Cuenta Contable</w:t>
            </w:r>
          </w:p>
        </w:tc>
        <w:tc>
          <w:tcPr>
            <w:tcW w:w="1422"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center"/>
            <w:hideMark/>
          </w:tcPr>
          <w:p w14:paraId="19E4F09C" w14:textId="77777777" w:rsidR="008C6383" w:rsidRPr="008C6383" w:rsidRDefault="008C6383" w:rsidP="008C6383">
            <w:pPr>
              <w:spacing w:after="0" w:line="240" w:lineRule="auto"/>
              <w:jc w:val="center"/>
              <w:rPr>
                <w:rFonts w:ascii="Franklin Gothic Book" w:eastAsia="Times New Roman" w:hAnsi="Franklin Gothic Book"/>
                <w:b/>
                <w:bCs/>
                <w:sz w:val="20"/>
                <w:szCs w:val="20"/>
                <w:lang w:eastAsia="es-MX"/>
              </w:rPr>
            </w:pPr>
            <w:proofErr w:type="spellStart"/>
            <w:r w:rsidRPr="008C6383">
              <w:rPr>
                <w:rFonts w:ascii="Franklin Gothic Book" w:eastAsia="Times New Roman" w:hAnsi="Franklin Gothic Book"/>
                <w:b/>
                <w:bCs/>
                <w:sz w:val="20"/>
                <w:szCs w:val="20"/>
                <w:lang w:eastAsia="es-MX"/>
              </w:rPr>
              <w:t>Bco.prp</w:t>
            </w:r>
            <w:proofErr w:type="spellEnd"/>
            <w:r w:rsidRPr="008C6383">
              <w:rPr>
                <w:rFonts w:ascii="Franklin Gothic Book" w:eastAsia="Times New Roman" w:hAnsi="Franklin Gothic Book"/>
                <w:b/>
                <w:bCs/>
                <w:sz w:val="20"/>
                <w:szCs w:val="20"/>
                <w:lang w:eastAsia="es-MX"/>
              </w:rPr>
              <w:t>.</w:t>
            </w:r>
          </w:p>
        </w:tc>
        <w:tc>
          <w:tcPr>
            <w:tcW w:w="12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center"/>
            <w:hideMark/>
          </w:tcPr>
          <w:p w14:paraId="7EEF4E69" w14:textId="77777777" w:rsidR="008C6383" w:rsidRPr="008C6383" w:rsidRDefault="008C6383" w:rsidP="008C6383">
            <w:pPr>
              <w:spacing w:after="0" w:line="240" w:lineRule="auto"/>
              <w:jc w:val="center"/>
              <w:rPr>
                <w:rFonts w:ascii="Franklin Gothic Book" w:eastAsia="Times New Roman" w:hAnsi="Franklin Gothic Book"/>
                <w:b/>
                <w:bCs/>
                <w:sz w:val="20"/>
                <w:szCs w:val="20"/>
                <w:lang w:eastAsia="es-MX"/>
              </w:rPr>
            </w:pPr>
            <w:proofErr w:type="spellStart"/>
            <w:r w:rsidRPr="008C6383">
              <w:rPr>
                <w:rFonts w:ascii="Franklin Gothic Book" w:eastAsia="Times New Roman" w:hAnsi="Franklin Gothic Book"/>
                <w:b/>
                <w:bCs/>
                <w:sz w:val="20"/>
                <w:szCs w:val="20"/>
                <w:lang w:eastAsia="es-MX"/>
              </w:rPr>
              <w:t>ID.cta</w:t>
            </w:r>
            <w:proofErr w:type="spellEnd"/>
            <w:r w:rsidRPr="008C6383">
              <w:rPr>
                <w:rFonts w:ascii="Franklin Gothic Book" w:eastAsia="Times New Roman" w:hAnsi="Franklin Gothic Book"/>
                <w:b/>
                <w:bCs/>
                <w:sz w:val="20"/>
                <w:szCs w:val="20"/>
                <w:lang w:eastAsia="es-MX"/>
              </w:rPr>
              <w:t>.</w:t>
            </w:r>
          </w:p>
        </w:tc>
        <w:tc>
          <w:tcPr>
            <w:tcW w:w="2623"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center"/>
            <w:hideMark/>
          </w:tcPr>
          <w:p w14:paraId="3DA005C2" w14:textId="77777777" w:rsidR="008C6383" w:rsidRPr="008C6383" w:rsidRDefault="008C6383" w:rsidP="008C6383">
            <w:pPr>
              <w:spacing w:after="0" w:line="240" w:lineRule="auto"/>
              <w:jc w:val="center"/>
              <w:rPr>
                <w:rFonts w:ascii="Franklin Gothic Book" w:eastAsia="Times New Roman" w:hAnsi="Franklin Gothic Book"/>
                <w:b/>
                <w:bCs/>
                <w:sz w:val="20"/>
                <w:szCs w:val="20"/>
                <w:lang w:eastAsia="es-MX"/>
              </w:rPr>
            </w:pPr>
            <w:r w:rsidRPr="008C6383">
              <w:rPr>
                <w:rFonts w:ascii="Franklin Gothic Book" w:eastAsia="Times New Roman" w:hAnsi="Franklin Gothic Book"/>
                <w:b/>
                <w:bCs/>
                <w:sz w:val="20"/>
                <w:szCs w:val="20"/>
                <w:lang w:eastAsia="es-MX"/>
              </w:rPr>
              <w:t>Clave breve para banco propio</w:t>
            </w:r>
          </w:p>
        </w:tc>
        <w:tc>
          <w:tcPr>
            <w:tcW w:w="2835"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center"/>
            <w:hideMark/>
          </w:tcPr>
          <w:p w14:paraId="3F09C7CE" w14:textId="77777777" w:rsidR="008C6383" w:rsidRPr="008C6383" w:rsidRDefault="008C6383" w:rsidP="008C6383">
            <w:pPr>
              <w:spacing w:after="0" w:line="240" w:lineRule="auto"/>
              <w:jc w:val="center"/>
              <w:rPr>
                <w:rFonts w:ascii="Franklin Gothic Book" w:eastAsia="Times New Roman" w:hAnsi="Franklin Gothic Book"/>
                <w:b/>
                <w:bCs/>
                <w:sz w:val="20"/>
                <w:szCs w:val="20"/>
                <w:lang w:eastAsia="es-MX"/>
              </w:rPr>
            </w:pPr>
            <w:r w:rsidRPr="008C6383">
              <w:rPr>
                <w:rFonts w:ascii="Franklin Gothic Book" w:eastAsia="Times New Roman" w:hAnsi="Franklin Gothic Book"/>
                <w:b/>
                <w:bCs/>
                <w:sz w:val="20"/>
                <w:szCs w:val="20"/>
                <w:lang w:eastAsia="es-MX"/>
              </w:rPr>
              <w:t>Nombre</w:t>
            </w:r>
          </w:p>
        </w:tc>
      </w:tr>
      <w:tr w:rsidR="008C6383" w:rsidRPr="008C6383" w14:paraId="3BDC1CA8" w14:textId="77777777" w:rsidTr="008C6383">
        <w:trPr>
          <w:trHeight w:val="330"/>
        </w:trPr>
        <w:tc>
          <w:tcPr>
            <w:tcW w:w="1838"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14:paraId="282FE72B"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1112103010</w:t>
            </w:r>
          </w:p>
        </w:tc>
        <w:tc>
          <w:tcPr>
            <w:tcW w:w="1422"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50C412A5"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BANOR</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0D0C1C5C"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23010</w:t>
            </w:r>
          </w:p>
        </w:tc>
        <w:tc>
          <w:tcPr>
            <w:tcW w:w="262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24A8B5CA"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BNTE CTA. 123913679</w:t>
            </w:r>
          </w:p>
        </w:tc>
        <w:tc>
          <w:tcPr>
            <w:tcW w:w="28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7752BAFB"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PRODEP 2023</w:t>
            </w:r>
          </w:p>
        </w:tc>
      </w:tr>
      <w:tr w:rsidR="008C6383" w:rsidRPr="008C6383" w14:paraId="71AEFEF7" w14:textId="77777777" w:rsidTr="008C6383">
        <w:trPr>
          <w:trHeight w:val="330"/>
        </w:trPr>
        <w:tc>
          <w:tcPr>
            <w:tcW w:w="1838"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14:paraId="06441B0C"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1112020060</w:t>
            </w:r>
          </w:p>
        </w:tc>
        <w:tc>
          <w:tcPr>
            <w:tcW w:w="1422"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7DCE4FCE"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BBVAB</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6ED897BB"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20060</w:t>
            </w:r>
          </w:p>
        </w:tc>
        <w:tc>
          <w:tcPr>
            <w:tcW w:w="262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0641D18E"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BBVAB 0119575057</w:t>
            </w:r>
          </w:p>
        </w:tc>
        <w:tc>
          <w:tcPr>
            <w:tcW w:w="28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2610E85D"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U006 Federal 2023</w:t>
            </w:r>
          </w:p>
        </w:tc>
      </w:tr>
      <w:tr w:rsidR="008C6383" w:rsidRPr="008C6383" w14:paraId="7BCFB1C7" w14:textId="77777777" w:rsidTr="008C6383">
        <w:trPr>
          <w:trHeight w:val="330"/>
        </w:trPr>
        <w:tc>
          <w:tcPr>
            <w:tcW w:w="1838"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14:paraId="617838FF"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1112020070</w:t>
            </w:r>
          </w:p>
        </w:tc>
        <w:tc>
          <w:tcPr>
            <w:tcW w:w="1422"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5C2F84CC"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BBVAB</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2606711C"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20070</w:t>
            </w:r>
          </w:p>
        </w:tc>
        <w:tc>
          <w:tcPr>
            <w:tcW w:w="262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602E0155"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BBVAB 0119574956</w:t>
            </w:r>
          </w:p>
        </w:tc>
        <w:tc>
          <w:tcPr>
            <w:tcW w:w="28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5FF602A1"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Estatal 2023</w:t>
            </w:r>
          </w:p>
        </w:tc>
      </w:tr>
      <w:tr w:rsidR="008C6383" w:rsidRPr="008C6383" w14:paraId="290F3321" w14:textId="77777777" w:rsidTr="008C6383">
        <w:trPr>
          <w:trHeight w:val="330"/>
        </w:trPr>
        <w:tc>
          <w:tcPr>
            <w:tcW w:w="1838"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14:paraId="69E41095"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1112070020</w:t>
            </w:r>
          </w:p>
        </w:tc>
        <w:tc>
          <w:tcPr>
            <w:tcW w:w="1422"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6D5D168B"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SANTA</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2736BA59"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20020</w:t>
            </w:r>
          </w:p>
        </w:tc>
        <w:tc>
          <w:tcPr>
            <w:tcW w:w="262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7997B8E0"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SANTA 18000044367</w:t>
            </w:r>
          </w:p>
        </w:tc>
        <w:tc>
          <w:tcPr>
            <w:tcW w:w="28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4C9C73B1"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Remanente 2011-2013</w:t>
            </w:r>
          </w:p>
        </w:tc>
      </w:tr>
      <w:tr w:rsidR="008C6383" w:rsidRPr="008C6383" w14:paraId="70CA1358" w14:textId="77777777" w:rsidTr="008C6383">
        <w:trPr>
          <w:trHeight w:val="330"/>
        </w:trPr>
        <w:tc>
          <w:tcPr>
            <w:tcW w:w="1838"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14:paraId="47294D0F"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1112070040</w:t>
            </w:r>
          </w:p>
        </w:tc>
        <w:tc>
          <w:tcPr>
            <w:tcW w:w="1422"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167E0AA6"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SANTA</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7C6B3FBE"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20040</w:t>
            </w:r>
          </w:p>
        </w:tc>
        <w:tc>
          <w:tcPr>
            <w:tcW w:w="262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39795A21"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SANTA 1800026558-6</w:t>
            </w:r>
          </w:p>
        </w:tc>
        <w:tc>
          <w:tcPr>
            <w:tcW w:w="28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7F83726F"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Obra Pública</w:t>
            </w:r>
          </w:p>
        </w:tc>
      </w:tr>
      <w:tr w:rsidR="008C6383" w:rsidRPr="008C6383" w14:paraId="47AC9CAB" w14:textId="77777777" w:rsidTr="008C6383">
        <w:trPr>
          <w:trHeight w:val="330"/>
        </w:trPr>
        <w:tc>
          <w:tcPr>
            <w:tcW w:w="1838"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hideMark/>
          </w:tcPr>
          <w:p w14:paraId="1354FD19"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1121107013</w:t>
            </w:r>
          </w:p>
        </w:tc>
        <w:tc>
          <w:tcPr>
            <w:tcW w:w="1422"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3E7E71BD"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 </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13DE2858" w14:textId="77777777" w:rsidR="008C6383" w:rsidRPr="008C6383" w:rsidRDefault="008C6383" w:rsidP="008C6383">
            <w:pPr>
              <w:spacing w:after="0" w:line="240" w:lineRule="auto"/>
              <w:jc w:val="center"/>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 </w:t>
            </w:r>
          </w:p>
        </w:tc>
        <w:tc>
          <w:tcPr>
            <w:tcW w:w="262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4CBE72C9"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SANTAND18-00004436-7</w:t>
            </w:r>
          </w:p>
        </w:tc>
        <w:tc>
          <w:tcPr>
            <w:tcW w:w="28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hideMark/>
          </w:tcPr>
          <w:p w14:paraId="4146796A" w14:textId="77777777" w:rsidR="008C6383" w:rsidRPr="008C6383" w:rsidRDefault="008C6383" w:rsidP="008C6383">
            <w:pPr>
              <w:spacing w:after="0" w:line="240" w:lineRule="auto"/>
              <w:rPr>
                <w:rFonts w:ascii="Franklin Gothic Book" w:eastAsia="Times New Roman" w:hAnsi="Franklin Gothic Book"/>
                <w:sz w:val="20"/>
                <w:szCs w:val="20"/>
                <w:lang w:eastAsia="es-MX"/>
              </w:rPr>
            </w:pPr>
            <w:r w:rsidRPr="008C6383">
              <w:rPr>
                <w:rFonts w:ascii="Franklin Gothic Book" w:eastAsia="Times New Roman" w:hAnsi="Franklin Gothic Book"/>
                <w:sz w:val="20"/>
                <w:szCs w:val="20"/>
                <w:lang w:eastAsia="es-MX"/>
              </w:rPr>
              <w:t>Remanente 2011-2013</w:t>
            </w:r>
          </w:p>
        </w:tc>
      </w:tr>
    </w:tbl>
    <w:p w14:paraId="1CB7AE80" w14:textId="77777777" w:rsidR="008C6383" w:rsidRDefault="008C6383" w:rsidP="000C3365">
      <w:pPr>
        <w:pStyle w:val="Ttulo2"/>
        <w:rPr>
          <w:rFonts w:ascii="Arial" w:hAnsi="Arial" w:cs="Arial"/>
          <w:b/>
          <w:color w:val="auto"/>
          <w:sz w:val="20"/>
          <w:szCs w:val="20"/>
        </w:rPr>
      </w:pPr>
    </w:p>
    <w:p w14:paraId="2CA8BAC1" w14:textId="6FEAC5EB" w:rsidR="007D1E76" w:rsidRPr="00A17DD1" w:rsidRDefault="003E6C64" w:rsidP="000C3365">
      <w:pPr>
        <w:pStyle w:val="Ttulo2"/>
        <w:rPr>
          <w:rFonts w:ascii="Arial" w:hAnsi="Arial" w:cs="Arial"/>
          <w:b/>
          <w:color w:val="auto"/>
          <w:sz w:val="20"/>
          <w:szCs w:val="20"/>
        </w:rPr>
      </w:pPr>
      <w:r w:rsidRPr="00A17DD1">
        <w:rPr>
          <w:rFonts w:ascii="Arial" w:hAnsi="Arial" w:cs="Arial"/>
          <w:b/>
          <w:color w:val="auto"/>
          <w:sz w:val="20"/>
          <w:szCs w:val="20"/>
        </w:rPr>
        <w:t>6</w:t>
      </w:r>
      <w:r w:rsidR="007D1E76" w:rsidRPr="00A17DD1">
        <w:rPr>
          <w:rFonts w:ascii="Arial" w:hAnsi="Arial" w:cs="Arial"/>
          <w:b/>
          <w:color w:val="auto"/>
          <w:sz w:val="20"/>
          <w:szCs w:val="20"/>
        </w:rPr>
        <w:t>. Posición en Moneda Extranjera y Pro</w:t>
      </w:r>
      <w:r w:rsidR="00E00323" w:rsidRPr="00A17DD1">
        <w:rPr>
          <w:rFonts w:ascii="Arial" w:hAnsi="Arial" w:cs="Arial"/>
          <w:b/>
          <w:color w:val="auto"/>
          <w:sz w:val="20"/>
          <w:szCs w:val="20"/>
        </w:rPr>
        <w:t>tección por Riesgo Cambiario:</w:t>
      </w:r>
      <w:bookmarkEnd w:id="6"/>
    </w:p>
    <w:p w14:paraId="60114D1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12C7301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sobre:</w:t>
      </w:r>
    </w:p>
    <w:p w14:paraId="7E8BC54D"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31D25F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Activos en moneda extranjera:</w:t>
      </w:r>
    </w:p>
    <w:p w14:paraId="3A4E5848" w14:textId="7777777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7E44729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Pasivos en moneda extranjera:</w:t>
      </w:r>
    </w:p>
    <w:p w14:paraId="1CD872AE" w14:textId="7777777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6E3298C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 xml:space="preserve">c) </w:t>
      </w:r>
      <w:r w:rsidRPr="00A17DD1">
        <w:rPr>
          <w:rFonts w:ascii="Arial" w:hAnsi="Arial" w:cs="Arial"/>
          <w:sz w:val="20"/>
          <w:szCs w:val="20"/>
        </w:rPr>
        <w:t>Posición en moneda extranjera:</w:t>
      </w:r>
    </w:p>
    <w:p w14:paraId="1BCEF000" w14:textId="7777777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61291BC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d)</w:t>
      </w:r>
      <w:r w:rsidRPr="00A17DD1">
        <w:rPr>
          <w:rFonts w:ascii="Arial" w:hAnsi="Arial" w:cs="Arial"/>
          <w:sz w:val="20"/>
          <w:szCs w:val="20"/>
        </w:rPr>
        <w:t xml:space="preserve"> Tipo de cambio:</w:t>
      </w:r>
    </w:p>
    <w:p w14:paraId="7CF8E15F" w14:textId="7777777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2878D6F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 xml:space="preserve">e) </w:t>
      </w:r>
      <w:r w:rsidRPr="00A17DD1">
        <w:rPr>
          <w:rFonts w:ascii="Arial" w:hAnsi="Arial" w:cs="Arial"/>
          <w:sz w:val="20"/>
          <w:szCs w:val="20"/>
        </w:rPr>
        <w:t>Equivalente en moneda nacional:</w:t>
      </w:r>
    </w:p>
    <w:p w14:paraId="53881AD1" w14:textId="77777777" w:rsidR="000D5EFC" w:rsidRPr="00A17DD1" w:rsidRDefault="000D5EFC" w:rsidP="000D5EFC">
      <w:pPr>
        <w:ind w:left="567" w:hanging="567"/>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0172817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Lo anterior por cada tipo de moneda extranjera que se encuentre en los rubros de activo y pasivo.</w:t>
      </w:r>
    </w:p>
    <w:p w14:paraId="20DD1BAE" w14:textId="4A4A65C9"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Adicionalmente</w:t>
      </w:r>
      <w:r w:rsidR="00D32331" w:rsidRPr="00A17DD1">
        <w:rPr>
          <w:rFonts w:ascii="Arial" w:hAnsi="Arial" w:cs="Arial"/>
          <w:sz w:val="20"/>
          <w:szCs w:val="20"/>
        </w:rPr>
        <w:t>,</w:t>
      </w:r>
      <w:r w:rsidRPr="00A17DD1">
        <w:rPr>
          <w:rFonts w:ascii="Arial" w:hAnsi="Arial" w:cs="Arial"/>
          <w:sz w:val="20"/>
          <w:szCs w:val="20"/>
        </w:rPr>
        <w:t xml:space="preserve"> se informará sobre los métodos de protección de riesgo por vari</w:t>
      </w:r>
      <w:r w:rsidR="00E00323" w:rsidRPr="00A17DD1">
        <w:rPr>
          <w:rFonts w:ascii="Arial" w:hAnsi="Arial" w:cs="Arial"/>
          <w:sz w:val="20"/>
          <w:szCs w:val="20"/>
        </w:rPr>
        <w:t>aciones en el tipo de cambio.</w:t>
      </w:r>
    </w:p>
    <w:p w14:paraId="5D7BA233"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095853FE" w14:textId="75928022" w:rsidR="007D1E76" w:rsidRPr="00A17DD1" w:rsidRDefault="0064059E" w:rsidP="000C3365">
      <w:pPr>
        <w:pStyle w:val="Ttulo2"/>
        <w:rPr>
          <w:rFonts w:ascii="Arial" w:hAnsi="Arial" w:cs="Arial"/>
          <w:b/>
          <w:color w:val="auto"/>
          <w:sz w:val="20"/>
          <w:szCs w:val="20"/>
        </w:rPr>
      </w:pPr>
      <w:bookmarkStart w:id="7" w:name="_Toc161472872"/>
      <w:r w:rsidRPr="00A17DD1">
        <w:rPr>
          <w:rFonts w:ascii="Arial" w:hAnsi="Arial" w:cs="Arial"/>
          <w:b/>
          <w:color w:val="auto"/>
          <w:sz w:val="20"/>
          <w:szCs w:val="20"/>
        </w:rPr>
        <w:t>7</w:t>
      </w:r>
      <w:r w:rsidR="007D1E76" w:rsidRPr="00A17DD1">
        <w:rPr>
          <w:rFonts w:ascii="Arial" w:hAnsi="Arial" w:cs="Arial"/>
          <w:b/>
          <w:color w:val="auto"/>
          <w:sz w:val="20"/>
          <w:szCs w:val="20"/>
        </w:rPr>
        <w:t xml:space="preserve">. </w:t>
      </w:r>
      <w:r w:rsidR="00E00323" w:rsidRPr="00A17DD1">
        <w:rPr>
          <w:rFonts w:ascii="Arial" w:hAnsi="Arial" w:cs="Arial"/>
          <w:b/>
          <w:color w:val="auto"/>
          <w:sz w:val="20"/>
          <w:szCs w:val="20"/>
        </w:rPr>
        <w:t>Reporte Analítico del Activo:</w:t>
      </w:r>
      <w:bookmarkEnd w:id="7"/>
    </w:p>
    <w:p w14:paraId="1C9AE80E"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DC51E13"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Debe mostrar la siguien</w:t>
      </w:r>
      <w:r w:rsidR="00E00323" w:rsidRPr="00A17DD1">
        <w:rPr>
          <w:rFonts w:ascii="Arial" w:hAnsi="Arial" w:cs="Arial"/>
          <w:sz w:val="20"/>
          <w:szCs w:val="20"/>
        </w:rPr>
        <w:t>te información:</w:t>
      </w:r>
    </w:p>
    <w:p w14:paraId="0E1FB99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21E8A1F" w14:textId="09BA8E02"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w:t>
      </w:r>
      <w:r w:rsidR="00ED7AA0" w:rsidRPr="00A17DD1">
        <w:rPr>
          <w:rFonts w:ascii="Arial" w:hAnsi="Arial" w:cs="Arial"/>
          <w:sz w:val="20"/>
          <w:szCs w:val="20"/>
        </w:rPr>
        <w:t>Vida útil, porcentajes de depreciación y amortización utilizados en los diferentes tipos de activos, o el importe de las pérdidas por deterioro reconocidas</w:t>
      </w:r>
      <w:r w:rsidRPr="00A17DD1">
        <w:rPr>
          <w:rFonts w:ascii="Arial" w:hAnsi="Arial" w:cs="Arial"/>
          <w:sz w:val="20"/>
          <w:szCs w:val="20"/>
        </w:rPr>
        <w:t>:</w:t>
      </w:r>
    </w:p>
    <w:p w14:paraId="2EFB3D6D" w14:textId="77777777" w:rsidR="000D5EFC" w:rsidRPr="00A17DD1" w:rsidRDefault="000D5EFC" w:rsidP="000D5EFC">
      <w:pPr>
        <w:jc w:val="both"/>
        <w:rPr>
          <w:rFonts w:ascii="Arial" w:hAnsi="Arial" w:cs="Arial"/>
          <w:sz w:val="20"/>
          <w:szCs w:val="20"/>
        </w:rPr>
      </w:pPr>
      <w:r w:rsidRPr="00A17DD1">
        <w:rPr>
          <w:rFonts w:ascii="Arial" w:hAnsi="Arial" w:cs="Arial"/>
          <w:sz w:val="20"/>
          <w:szCs w:val="20"/>
        </w:rPr>
        <w:t>Se aplicó la depreciación de los activos fijos con los porcentajes aplicables por el CONAC y las disposiciones que le aplican.</w:t>
      </w:r>
    </w:p>
    <w:p w14:paraId="7FD13FA2" w14:textId="4685F103"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w:t>
      </w:r>
      <w:r w:rsidR="00AA2768" w:rsidRPr="00A17DD1">
        <w:rPr>
          <w:rFonts w:ascii="Arial" w:hAnsi="Arial" w:cs="Arial"/>
          <w:sz w:val="20"/>
          <w:szCs w:val="20"/>
        </w:rPr>
        <w:t>Cambios en el porcentaje de depreciación y amortización y en el valor de los activos ocasionado por deterioro</w:t>
      </w:r>
      <w:r w:rsidRPr="00A17DD1">
        <w:rPr>
          <w:rFonts w:ascii="Arial" w:hAnsi="Arial" w:cs="Arial"/>
          <w:sz w:val="20"/>
          <w:szCs w:val="20"/>
        </w:rPr>
        <w:t>:</w:t>
      </w:r>
    </w:p>
    <w:p w14:paraId="4AFCE141" w14:textId="77777777" w:rsidR="000D5EFC" w:rsidRPr="00A17DD1" w:rsidRDefault="000D5EFC" w:rsidP="000D5EFC">
      <w:pPr>
        <w:jc w:val="both"/>
        <w:rPr>
          <w:rFonts w:ascii="Arial" w:hAnsi="Arial" w:cs="Arial"/>
          <w:sz w:val="20"/>
          <w:szCs w:val="20"/>
        </w:rPr>
      </w:pPr>
      <w:r w:rsidRPr="00A17DD1">
        <w:rPr>
          <w:rFonts w:ascii="Arial" w:hAnsi="Arial" w:cs="Arial"/>
          <w:sz w:val="20"/>
          <w:szCs w:val="20"/>
        </w:rPr>
        <w:t xml:space="preserve">De conformidad con la norma de CONAC y los alcances del SIHP, actualmente sólo pueden considerarse las 40 clases de activos vigentes. </w:t>
      </w:r>
    </w:p>
    <w:p w14:paraId="59A0596F"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793D35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c)</w:t>
      </w:r>
      <w:r w:rsidRPr="00A17DD1">
        <w:rPr>
          <w:rFonts w:ascii="Arial" w:hAnsi="Arial" w:cs="Arial"/>
          <w:sz w:val="20"/>
          <w:szCs w:val="20"/>
        </w:rPr>
        <w:t xml:space="preserve"> Importe de los gastos capitalizados en el ejercicio, tanto financieros como de investigación y desarrollo:</w:t>
      </w:r>
    </w:p>
    <w:p w14:paraId="7D1F662D" w14:textId="2DDC2613" w:rsidR="007D1E76" w:rsidRPr="00A17DD1" w:rsidRDefault="000D5EFC"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Sin información que revelar</w:t>
      </w:r>
    </w:p>
    <w:p w14:paraId="389FC7C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4BF173F"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d)</w:t>
      </w:r>
      <w:r w:rsidRPr="00A17DD1">
        <w:rPr>
          <w:rFonts w:ascii="Arial" w:hAnsi="Arial" w:cs="Arial"/>
          <w:sz w:val="20"/>
          <w:szCs w:val="20"/>
        </w:rPr>
        <w:t xml:space="preserve"> Rie</w:t>
      </w:r>
      <w:r w:rsidR="001973A2" w:rsidRPr="00A17DD1">
        <w:rPr>
          <w:rFonts w:ascii="Arial" w:hAnsi="Arial" w:cs="Arial"/>
          <w:sz w:val="20"/>
          <w:szCs w:val="20"/>
        </w:rPr>
        <w:t>s</w:t>
      </w:r>
      <w:r w:rsidRPr="00A17DD1">
        <w:rPr>
          <w:rFonts w:ascii="Arial" w:hAnsi="Arial" w:cs="Arial"/>
          <w:sz w:val="20"/>
          <w:szCs w:val="20"/>
        </w:rPr>
        <w:t>gos por tipo de cambio o tipo de interés de las inversiones financieras:</w:t>
      </w:r>
    </w:p>
    <w:p w14:paraId="2442B7F6" w14:textId="77777777" w:rsidR="000D5EFC" w:rsidRPr="00A17DD1" w:rsidRDefault="000D5EFC" w:rsidP="000D5EFC">
      <w:pPr>
        <w:jc w:val="both"/>
        <w:rPr>
          <w:rFonts w:ascii="Arial" w:hAnsi="Arial" w:cs="Arial"/>
          <w:sz w:val="20"/>
          <w:szCs w:val="20"/>
        </w:rPr>
      </w:pPr>
      <w:r w:rsidRPr="00A17DD1">
        <w:rPr>
          <w:rFonts w:ascii="Arial" w:hAnsi="Arial" w:cs="Arial"/>
          <w:sz w:val="20"/>
          <w:szCs w:val="20"/>
        </w:rPr>
        <w:t>Instrumento de inversión STERGOB y BMRGOBP</w:t>
      </w:r>
    </w:p>
    <w:p w14:paraId="114D816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 xml:space="preserve">e) </w:t>
      </w:r>
      <w:r w:rsidRPr="00A17DD1">
        <w:rPr>
          <w:rFonts w:ascii="Arial" w:hAnsi="Arial" w:cs="Arial"/>
          <w:sz w:val="20"/>
          <w:szCs w:val="20"/>
        </w:rPr>
        <w:t>Valor activado en el ejercicio de los bienes construidos por la entidad:</w:t>
      </w:r>
    </w:p>
    <w:p w14:paraId="42B644BE" w14:textId="77777777" w:rsidR="000D5EFC" w:rsidRPr="00A17DD1" w:rsidRDefault="008C3BB8" w:rsidP="000D5EFC">
      <w:pPr>
        <w:jc w:val="both"/>
        <w:rPr>
          <w:rFonts w:ascii="Arial" w:hAnsi="Arial" w:cs="Arial"/>
          <w:sz w:val="20"/>
          <w:szCs w:val="20"/>
        </w:rPr>
      </w:pPr>
      <w:r w:rsidRPr="00A17DD1">
        <w:rPr>
          <w:rFonts w:ascii="Arial" w:hAnsi="Arial" w:cs="Arial"/>
          <w:sz w:val="20"/>
          <w:szCs w:val="20"/>
        </w:rPr>
        <w:tab/>
      </w:r>
      <w:r w:rsidR="000D5EFC" w:rsidRPr="00A17DD1">
        <w:rPr>
          <w:rFonts w:ascii="Arial" w:hAnsi="Arial" w:cs="Arial"/>
          <w:sz w:val="20"/>
          <w:szCs w:val="20"/>
        </w:rPr>
        <w:t>A la fecha no se ha implementado los criterios de actualización, porque con la incorporación al sistema rector, estamos en proceso de regularización de los activos fijos del Instituto.</w:t>
      </w:r>
    </w:p>
    <w:p w14:paraId="61D4FD0C" w14:textId="6577F3E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f)</w:t>
      </w:r>
      <w:r w:rsidRPr="00A17DD1">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6FD1B4E4" w14:textId="16577291" w:rsidR="007D1E76" w:rsidRPr="00A17DD1" w:rsidRDefault="000D5EFC" w:rsidP="00CB41C4">
      <w:pPr>
        <w:tabs>
          <w:tab w:val="left" w:leader="underscore" w:pos="9639"/>
        </w:tabs>
        <w:spacing w:after="0" w:line="240" w:lineRule="auto"/>
        <w:jc w:val="both"/>
        <w:rPr>
          <w:rFonts w:ascii="Arial" w:hAnsi="Arial" w:cs="Arial"/>
          <w:sz w:val="20"/>
          <w:szCs w:val="20"/>
        </w:rPr>
      </w:pPr>
      <w:r w:rsidRPr="00A17DD1">
        <w:rPr>
          <w:rFonts w:ascii="Arial" w:hAnsi="Arial" w:cs="Arial"/>
          <w:i/>
          <w:iCs/>
          <w:sz w:val="20"/>
          <w:szCs w:val="20"/>
        </w:rPr>
        <w:t>Sin información que revelar</w:t>
      </w:r>
    </w:p>
    <w:p w14:paraId="090566D1" w14:textId="77777777" w:rsidR="000D5EFC" w:rsidRPr="00A17DD1" w:rsidRDefault="000D5EFC" w:rsidP="00CB41C4">
      <w:pPr>
        <w:tabs>
          <w:tab w:val="left" w:leader="underscore" w:pos="9639"/>
        </w:tabs>
        <w:spacing w:after="0" w:line="240" w:lineRule="auto"/>
        <w:jc w:val="both"/>
        <w:rPr>
          <w:rFonts w:ascii="Arial" w:hAnsi="Arial" w:cs="Arial"/>
          <w:b/>
          <w:sz w:val="20"/>
          <w:szCs w:val="20"/>
        </w:rPr>
      </w:pPr>
    </w:p>
    <w:p w14:paraId="5B1593C0" w14:textId="79609372"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g)</w:t>
      </w:r>
      <w:r w:rsidRPr="00A17DD1">
        <w:rPr>
          <w:rFonts w:ascii="Arial" w:hAnsi="Arial" w:cs="Arial"/>
          <w:sz w:val="20"/>
          <w:szCs w:val="20"/>
        </w:rPr>
        <w:t xml:space="preserve"> Desmantelamiento de Activos, procedimientos, implicaciones, efectos contables:</w:t>
      </w:r>
    </w:p>
    <w:p w14:paraId="1EA941AE" w14:textId="77777777" w:rsidR="000D5EFC" w:rsidRPr="00A17DD1" w:rsidRDefault="000D5EFC" w:rsidP="00CB41C4">
      <w:pPr>
        <w:tabs>
          <w:tab w:val="left" w:leader="underscore" w:pos="9639"/>
        </w:tabs>
        <w:spacing w:after="0" w:line="240" w:lineRule="auto"/>
        <w:jc w:val="both"/>
        <w:rPr>
          <w:rFonts w:ascii="Arial" w:hAnsi="Arial" w:cs="Arial"/>
          <w:b/>
          <w:sz w:val="20"/>
          <w:szCs w:val="20"/>
        </w:rPr>
      </w:pPr>
      <w:r w:rsidRPr="00A17DD1">
        <w:rPr>
          <w:rFonts w:ascii="Arial" w:hAnsi="Arial" w:cs="Arial"/>
          <w:i/>
          <w:iCs/>
          <w:sz w:val="20"/>
          <w:szCs w:val="20"/>
        </w:rPr>
        <w:t>Sin información que revelar</w:t>
      </w:r>
      <w:r w:rsidRPr="00A17DD1">
        <w:rPr>
          <w:rFonts w:ascii="Arial" w:hAnsi="Arial" w:cs="Arial"/>
          <w:b/>
          <w:sz w:val="20"/>
          <w:szCs w:val="20"/>
        </w:rPr>
        <w:t xml:space="preserve"> </w:t>
      </w:r>
    </w:p>
    <w:p w14:paraId="43A70466" w14:textId="77777777" w:rsidR="000D5EFC" w:rsidRPr="00A17DD1" w:rsidRDefault="000D5EFC" w:rsidP="00CB41C4">
      <w:pPr>
        <w:tabs>
          <w:tab w:val="left" w:leader="underscore" w:pos="9639"/>
        </w:tabs>
        <w:spacing w:after="0" w:line="240" w:lineRule="auto"/>
        <w:jc w:val="both"/>
        <w:rPr>
          <w:rFonts w:ascii="Arial" w:hAnsi="Arial" w:cs="Arial"/>
          <w:b/>
          <w:sz w:val="20"/>
          <w:szCs w:val="20"/>
        </w:rPr>
      </w:pPr>
    </w:p>
    <w:p w14:paraId="6543D74F" w14:textId="5E4978AA"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h)</w:t>
      </w:r>
      <w:r w:rsidRPr="00A17DD1">
        <w:rPr>
          <w:rFonts w:ascii="Arial" w:hAnsi="Arial" w:cs="Arial"/>
          <w:sz w:val="20"/>
          <w:szCs w:val="20"/>
        </w:rPr>
        <w:t xml:space="preserve"> Administración de activos; planeación con el objetivo de que el ente los utilice de manera más efectiva:</w:t>
      </w:r>
    </w:p>
    <w:p w14:paraId="401C26BB" w14:textId="77777777" w:rsidR="000D5EFC" w:rsidRPr="00A17DD1" w:rsidRDefault="000D5EFC" w:rsidP="00CB41C4">
      <w:pPr>
        <w:tabs>
          <w:tab w:val="left" w:leader="underscore" w:pos="9639"/>
        </w:tabs>
        <w:spacing w:after="0" w:line="240" w:lineRule="auto"/>
        <w:jc w:val="both"/>
        <w:rPr>
          <w:rFonts w:ascii="Arial" w:hAnsi="Arial" w:cs="Arial"/>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7EF83C9F" w14:textId="77777777" w:rsidR="000D5EFC" w:rsidRPr="00A17DD1" w:rsidRDefault="000D5EFC" w:rsidP="00CB41C4">
      <w:pPr>
        <w:tabs>
          <w:tab w:val="left" w:leader="underscore" w:pos="9639"/>
        </w:tabs>
        <w:spacing w:after="0" w:line="240" w:lineRule="auto"/>
        <w:jc w:val="both"/>
        <w:rPr>
          <w:rFonts w:ascii="Arial" w:hAnsi="Arial" w:cs="Arial"/>
          <w:sz w:val="20"/>
          <w:szCs w:val="20"/>
        </w:rPr>
      </w:pPr>
    </w:p>
    <w:p w14:paraId="1F344FA6" w14:textId="130697BF"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Adicionalmente, se deben incluir las explicaciones de las principales variaciones en el activo, en cua</w:t>
      </w:r>
      <w:r w:rsidR="005E231E" w:rsidRPr="00A17DD1">
        <w:rPr>
          <w:rFonts w:ascii="Arial" w:hAnsi="Arial" w:cs="Arial"/>
          <w:sz w:val="20"/>
          <w:szCs w:val="20"/>
        </w:rPr>
        <w:t>dros comparativos como sigue:</w:t>
      </w:r>
    </w:p>
    <w:p w14:paraId="34E04F6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1C52C975" w14:textId="22D36791" w:rsidR="007D1E76"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Inversiones en valores:</w:t>
      </w:r>
    </w:p>
    <w:p w14:paraId="2338E49E"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47FAE4D3" w14:textId="71C34281" w:rsidR="007D1E76" w:rsidRDefault="008C6383" w:rsidP="00CB41C4">
      <w:pPr>
        <w:tabs>
          <w:tab w:val="left" w:leader="underscore" w:pos="9639"/>
        </w:tabs>
        <w:spacing w:after="0" w:line="240" w:lineRule="auto"/>
        <w:jc w:val="both"/>
        <w:rPr>
          <w:rFonts w:ascii="Arial" w:hAnsi="Arial" w:cs="Arial"/>
          <w:sz w:val="20"/>
          <w:szCs w:val="20"/>
        </w:rPr>
      </w:pPr>
      <w:r w:rsidRPr="008C6383">
        <w:drawing>
          <wp:inline distT="0" distB="0" distL="0" distR="0" wp14:anchorId="1DBEE678" wp14:editId="57073A70">
            <wp:extent cx="6151880" cy="1615440"/>
            <wp:effectExtent l="0" t="0" r="127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1880" cy="1615440"/>
                    </a:xfrm>
                    <a:prstGeom prst="rect">
                      <a:avLst/>
                    </a:prstGeom>
                    <a:noFill/>
                    <a:ln>
                      <a:noFill/>
                    </a:ln>
                  </pic:spPr>
                </pic:pic>
              </a:graphicData>
            </a:graphic>
          </wp:inline>
        </w:drawing>
      </w:r>
    </w:p>
    <w:p w14:paraId="4702B449" w14:textId="77777777" w:rsidR="00A17DD1" w:rsidRPr="00A17DD1" w:rsidRDefault="00A17DD1" w:rsidP="00CB41C4">
      <w:pPr>
        <w:tabs>
          <w:tab w:val="left" w:leader="underscore" w:pos="9639"/>
        </w:tabs>
        <w:spacing w:after="0" w:line="240" w:lineRule="auto"/>
        <w:jc w:val="both"/>
        <w:rPr>
          <w:rFonts w:ascii="Arial" w:hAnsi="Arial" w:cs="Arial"/>
          <w:sz w:val="20"/>
          <w:szCs w:val="20"/>
        </w:rPr>
      </w:pPr>
    </w:p>
    <w:p w14:paraId="78424B64" w14:textId="77777777" w:rsidR="00FD160C" w:rsidRPr="00A17DD1" w:rsidRDefault="00FD160C" w:rsidP="00CB41C4">
      <w:pPr>
        <w:tabs>
          <w:tab w:val="left" w:leader="underscore" w:pos="9639"/>
        </w:tabs>
        <w:spacing w:after="0" w:line="240" w:lineRule="auto"/>
        <w:jc w:val="both"/>
        <w:rPr>
          <w:rFonts w:ascii="Arial" w:hAnsi="Arial" w:cs="Arial"/>
          <w:sz w:val="20"/>
          <w:szCs w:val="20"/>
        </w:rPr>
      </w:pPr>
    </w:p>
    <w:p w14:paraId="7F294F69" w14:textId="7D9621E6"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Patrimonio de Organismos </w:t>
      </w:r>
      <w:r w:rsidR="00B073DE" w:rsidRPr="00A17DD1">
        <w:rPr>
          <w:rFonts w:ascii="Arial" w:hAnsi="Arial" w:cs="Arial"/>
          <w:sz w:val="20"/>
          <w:szCs w:val="20"/>
        </w:rPr>
        <w:t>D</w:t>
      </w:r>
      <w:r w:rsidRPr="00A17DD1">
        <w:rPr>
          <w:rFonts w:ascii="Arial" w:hAnsi="Arial" w:cs="Arial"/>
          <w:sz w:val="20"/>
          <w:szCs w:val="20"/>
        </w:rPr>
        <w:t>escentralizados de Control Presupuestario Indirecto:</w:t>
      </w:r>
    </w:p>
    <w:p w14:paraId="7F76C39C" w14:textId="743AF414" w:rsidR="007D1E76" w:rsidRPr="00A17DD1" w:rsidRDefault="00FD160C" w:rsidP="00CB41C4">
      <w:pPr>
        <w:tabs>
          <w:tab w:val="left" w:leader="underscore" w:pos="9639"/>
        </w:tabs>
        <w:spacing w:after="0" w:line="240" w:lineRule="auto"/>
        <w:jc w:val="both"/>
        <w:rPr>
          <w:rFonts w:ascii="Arial" w:hAnsi="Arial" w:cs="Arial"/>
          <w:i/>
          <w:iCs/>
          <w:sz w:val="20"/>
          <w:szCs w:val="20"/>
        </w:rPr>
      </w:pPr>
      <w:r w:rsidRPr="00A17DD1">
        <w:rPr>
          <w:rFonts w:ascii="Arial" w:hAnsi="Arial" w:cs="Arial"/>
          <w:i/>
          <w:iCs/>
          <w:sz w:val="20"/>
          <w:szCs w:val="20"/>
        </w:rPr>
        <w:t>Sin información que revelar.</w:t>
      </w:r>
    </w:p>
    <w:p w14:paraId="14B28F8A" w14:textId="77777777" w:rsidR="00FD160C" w:rsidRPr="00A17DD1" w:rsidRDefault="00FD160C" w:rsidP="00CB41C4">
      <w:pPr>
        <w:tabs>
          <w:tab w:val="left" w:leader="underscore" w:pos="9639"/>
        </w:tabs>
        <w:spacing w:after="0" w:line="240" w:lineRule="auto"/>
        <w:jc w:val="both"/>
        <w:rPr>
          <w:rFonts w:ascii="Arial" w:hAnsi="Arial" w:cs="Arial"/>
          <w:sz w:val="20"/>
          <w:szCs w:val="20"/>
        </w:rPr>
      </w:pPr>
    </w:p>
    <w:p w14:paraId="0A3B41EB"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c)</w:t>
      </w:r>
      <w:r w:rsidRPr="00A17DD1">
        <w:rPr>
          <w:rFonts w:ascii="Arial" w:hAnsi="Arial" w:cs="Arial"/>
          <w:sz w:val="20"/>
          <w:szCs w:val="20"/>
        </w:rPr>
        <w:t xml:space="preserve"> Inversiones en empresas de participación mayoritaria:</w:t>
      </w:r>
    </w:p>
    <w:p w14:paraId="5F9218F7" w14:textId="711D93B7" w:rsidR="007D1E76" w:rsidRPr="00A17DD1" w:rsidRDefault="00FD160C" w:rsidP="00CB41C4">
      <w:pPr>
        <w:tabs>
          <w:tab w:val="left" w:leader="underscore" w:pos="9639"/>
        </w:tabs>
        <w:spacing w:after="0" w:line="240" w:lineRule="auto"/>
        <w:jc w:val="both"/>
        <w:rPr>
          <w:rFonts w:ascii="Arial" w:hAnsi="Arial" w:cs="Arial"/>
          <w:i/>
          <w:iCs/>
          <w:sz w:val="20"/>
          <w:szCs w:val="20"/>
        </w:rPr>
      </w:pPr>
      <w:r w:rsidRPr="00A17DD1">
        <w:rPr>
          <w:rFonts w:ascii="Arial" w:hAnsi="Arial" w:cs="Arial"/>
          <w:i/>
          <w:iCs/>
          <w:sz w:val="20"/>
          <w:szCs w:val="20"/>
        </w:rPr>
        <w:t>Sin información que revelar.</w:t>
      </w:r>
    </w:p>
    <w:p w14:paraId="16B8BD5B" w14:textId="77777777" w:rsidR="00FD160C" w:rsidRPr="00A17DD1" w:rsidRDefault="00FD160C" w:rsidP="00CB41C4">
      <w:pPr>
        <w:tabs>
          <w:tab w:val="left" w:leader="underscore" w:pos="9639"/>
        </w:tabs>
        <w:spacing w:after="0" w:line="240" w:lineRule="auto"/>
        <w:jc w:val="both"/>
        <w:rPr>
          <w:rFonts w:ascii="Arial" w:hAnsi="Arial" w:cs="Arial"/>
          <w:sz w:val="20"/>
          <w:szCs w:val="20"/>
        </w:rPr>
      </w:pPr>
    </w:p>
    <w:p w14:paraId="02D4B80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d)</w:t>
      </w:r>
      <w:r w:rsidRPr="00A17DD1">
        <w:rPr>
          <w:rFonts w:ascii="Arial" w:hAnsi="Arial" w:cs="Arial"/>
          <w:sz w:val="20"/>
          <w:szCs w:val="20"/>
        </w:rPr>
        <w:t xml:space="preserve"> Inversiones en empresas de participación minoritaria:</w:t>
      </w:r>
    </w:p>
    <w:p w14:paraId="35A51839" w14:textId="1DD790BB" w:rsidR="007D1E76" w:rsidRPr="00A17DD1" w:rsidRDefault="00FD160C" w:rsidP="00CB41C4">
      <w:pPr>
        <w:tabs>
          <w:tab w:val="left" w:leader="underscore" w:pos="9639"/>
        </w:tabs>
        <w:spacing w:after="0" w:line="240" w:lineRule="auto"/>
        <w:jc w:val="both"/>
        <w:rPr>
          <w:rFonts w:ascii="Arial" w:hAnsi="Arial" w:cs="Arial"/>
          <w:sz w:val="20"/>
          <w:szCs w:val="20"/>
        </w:rPr>
      </w:pPr>
      <w:r w:rsidRPr="00A17DD1">
        <w:rPr>
          <w:rFonts w:ascii="Arial" w:hAnsi="Arial" w:cs="Arial"/>
          <w:i/>
          <w:iCs/>
          <w:sz w:val="20"/>
          <w:szCs w:val="20"/>
        </w:rPr>
        <w:t>Sin información que revelar.</w:t>
      </w:r>
    </w:p>
    <w:p w14:paraId="199F0C3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05A46BBB" w14:textId="01E8D72B"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e)</w:t>
      </w:r>
      <w:r w:rsidRPr="00A17DD1">
        <w:rPr>
          <w:rFonts w:ascii="Arial" w:hAnsi="Arial" w:cs="Arial"/>
          <w:sz w:val="20"/>
          <w:szCs w:val="20"/>
        </w:rPr>
        <w:t xml:space="preserve"> Patrimonio de </w:t>
      </w:r>
      <w:r w:rsidR="006B1ADF" w:rsidRPr="00A17DD1">
        <w:rPr>
          <w:rFonts w:ascii="Arial" w:hAnsi="Arial" w:cs="Arial"/>
          <w:sz w:val="20"/>
          <w:szCs w:val="20"/>
        </w:rPr>
        <w:t>O</w:t>
      </w:r>
      <w:r w:rsidRPr="00A17DD1">
        <w:rPr>
          <w:rFonts w:ascii="Arial" w:hAnsi="Arial" w:cs="Arial"/>
          <w:sz w:val="20"/>
          <w:szCs w:val="20"/>
        </w:rPr>
        <w:t xml:space="preserve">rganismos </w:t>
      </w:r>
      <w:r w:rsidR="006B1ADF" w:rsidRPr="00A17DD1">
        <w:rPr>
          <w:rFonts w:ascii="Arial" w:hAnsi="Arial" w:cs="Arial"/>
          <w:sz w:val="20"/>
          <w:szCs w:val="20"/>
        </w:rPr>
        <w:t>D</w:t>
      </w:r>
      <w:r w:rsidRPr="00A17DD1">
        <w:rPr>
          <w:rFonts w:ascii="Arial" w:hAnsi="Arial" w:cs="Arial"/>
          <w:sz w:val="20"/>
          <w:szCs w:val="20"/>
        </w:rPr>
        <w:t xml:space="preserve">escentralizados de control </w:t>
      </w:r>
      <w:r w:rsidR="006B1ADF" w:rsidRPr="00A17DD1">
        <w:rPr>
          <w:rFonts w:ascii="Arial" w:hAnsi="Arial" w:cs="Arial"/>
          <w:sz w:val="20"/>
          <w:szCs w:val="20"/>
        </w:rPr>
        <w:t>P</w:t>
      </w:r>
      <w:r w:rsidRPr="00A17DD1">
        <w:rPr>
          <w:rFonts w:ascii="Arial" w:hAnsi="Arial" w:cs="Arial"/>
          <w:sz w:val="20"/>
          <w:szCs w:val="20"/>
        </w:rPr>
        <w:t xml:space="preserve">resupuestario </w:t>
      </w:r>
      <w:r w:rsidR="006B1ADF" w:rsidRPr="00A17DD1">
        <w:rPr>
          <w:rFonts w:ascii="Arial" w:hAnsi="Arial" w:cs="Arial"/>
          <w:sz w:val="20"/>
          <w:szCs w:val="20"/>
        </w:rPr>
        <w:t>D</w:t>
      </w:r>
      <w:r w:rsidRPr="00A17DD1">
        <w:rPr>
          <w:rFonts w:ascii="Arial" w:hAnsi="Arial" w:cs="Arial"/>
          <w:sz w:val="20"/>
          <w:szCs w:val="20"/>
        </w:rPr>
        <w:t>irecto, según corresponda:</w:t>
      </w:r>
    </w:p>
    <w:p w14:paraId="56C3B8CD" w14:textId="4B59CBC1" w:rsidR="007D1E76" w:rsidRDefault="00FD160C" w:rsidP="00CB41C4">
      <w:pPr>
        <w:tabs>
          <w:tab w:val="left" w:leader="underscore" w:pos="9639"/>
        </w:tabs>
        <w:spacing w:after="0" w:line="240" w:lineRule="auto"/>
        <w:jc w:val="both"/>
        <w:rPr>
          <w:rFonts w:ascii="Arial" w:hAnsi="Arial" w:cs="Arial"/>
          <w:i/>
          <w:iCs/>
          <w:sz w:val="20"/>
          <w:szCs w:val="20"/>
        </w:rPr>
      </w:pPr>
      <w:r w:rsidRPr="00A17DD1">
        <w:rPr>
          <w:rFonts w:ascii="Arial" w:hAnsi="Arial" w:cs="Arial"/>
          <w:i/>
          <w:iCs/>
          <w:sz w:val="20"/>
          <w:szCs w:val="20"/>
        </w:rPr>
        <w:t>Sin información que revelar.</w:t>
      </w:r>
    </w:p>
    <w:p w14:paraId="4EEA88A0" w14:textId="3F57CE4D" w:rsidR="008C6383" w:rsidRDefault="008C6383" w:rsidP="00CB41C4">
      <w:pPr>
        <w:tabs>
          <w:tab w:val="left" w:leader="underscore" w:pos="9639"/>
        </w:tabs>
        <w:spacing w:after="0" w:line="240" w:lineRule="auto"/>
        <w:jc w:val="both"/>
        <w:rPr>
          <w:rFonts w:ascii="Arial" w:hAnsi="Arial" w:cs="Arial"/>
          <w:i/>
          <w:iCs/>
          <w:sz w:val="20"/>
          <w:szCs w:val="20"/>
        </w:rPr>
      </w:pPr>
    </w:p>
    <w:p w14:paraId="2D957F4B" w14:textId="6AD73354" w:rsidR="007D1E76" w:rsidRPr="00A17DD1" w:rsidRDefault="002722DD" w:rsidP="000C3365">
      <w:pPr>
        <w:pStyle w:val="Ttulo2"/>
        <w:rPr>
          <w:rFonts w:ascii="Arial" w:hAnsi="Arial" w:cs="Arial"/>
          <w:b/>
          <w:color w:val="auto"/>
          <w:sz w:val="20"/>
          <w:szCs w:val="20"/>
        </w:rPr>
      </w:pPr>
      <w:bookmarkStart w:id="8" w:name="_Toc161472873"/>
      <w:r w:rsidRPr="00A17DD1">
        <w:rPr>
          <w:rFonts w:ascii="Arial" w:hAnsi="Arial" w:cs="Arial"/>
          <w:b/>
          <w:color w:val="auto"/>
          <w:sz w:val="20"/>
          <w:szCs w:val="20"/>
        </w:rPr>
        <w:t>8</w:t>
      </w:r>
      <w:r w:rsidR="007D1E76" w:rsidRPr="00A17DD1">
        <w:rPr>
          <w:rFonts w:ascii="Arial" w:hAnsi="Arial" w:cs="Arial"/>
          <w:b/>
          <w:color w:val="auto"/>
          <w:sz w:val="20"/>
          <w:szCs w:val="20"/>
        </w:rPr>
        <w:t>. Fidei</w:t>
      </w:r>
      <w:r w:rsidR="005E231E" w:rsidRPr="00A17DD1">
        <w:rPr>
          <w:rFonts w:ascii="Arial" w:hAnsi="Arial" w:cs="Arial"/>
          <w:b/>
          <w:color w:val="auto"/>
          <w:sz w:val="20"/>
          <w:szCs w:val="20"/>
        </w:rPr>
        <w:t>comisos, Mandatos y Análogos:</w:t>
      </w:r>
      <w:bookmarkEnd w:id="8"/>
    </w:p>
    <w:p w14:paraId="6E55E71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deberá informar:</w:t>
      </w:r>
    </w:p>
    <w:p w14:paraId="7FBFE961" w14:textId="77777777" w:rsidR="00577558" w:rsidRDefault="00577558" w:rsidP="00CB41C4">
      <w:pPr>
        <w:tabs>
          <w:tab w:val="left" w:leader="underscore" w:pos="9639"/>
        </w:tabs>
        <w:spacing w:after="0" w:line="240" w:lineRule="auto"/>
        <w:jc w:val="both"/>
        <w:rPr>
          <w:rFonts w:ascii="Arial" w:hAnsi="Arial" w:cs="Arial"/>
          <w:b/>
          <w:sz w:val="20"/>
          <w:szCs w:val="20"/>
        </w:rPr>
      </w:pPr>
    </w:p>
    <w:p w14:paraId="2701D955" w14:textId="71345579"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lastRenderedPageBreak/>
        <w:t>a)</w:t>
      </w:r>
      <w:r w:rsidRPr="00A17DD1">
        <w:rPr>
          <w:rFonts w:ascii="Arial" w:hAnsi="Arial" w:cs="Arial"/>
          <w:sz w:val="20"/>
          <w:szCs w:val="20"/>
        </w:rPr>
        <w:t xml:space="preserve"> Por ramo administrativo que los reporta:</w:t>
      </w:r>
    </w:p>
    <w:p w14:paraId="13E012DE" w14:textId="77777777" w:rsidR="00FD160C" w:rsidRPr="00A17DD1" w:rsidRDefault="00FD160C" w:rsidP="00CB41C4">
      <w:pPr>
        <w:tabs>
          <w:tab w:val="left" w:leader="underscore" w:pos="9639"/>
        </w:tabs>
        <w:spacing w:after="0" w:line="240" w:lineRule="auto"/>
        <w:jc w:val="both"/>
        <w:rPr>
          <w:rFonts w:ascii="Arial" w:hAnsi="Arial" w:cs="Arial"/>
          <w:i/>
          <w:iCs/>
          <w:sz w:val="20"/>
          <w:szCs w:val="20"/>
        </w:rPr>
      </w:pPr>
      <w:r w:rsidRPr="00A17DD1">
        <w:rPr>
          <w:rFonts w:ascii="Arial" w:hAnsi="Arial" w:cs="Arial"/>
          <w:i/>
          <w:iCs/>
          <w:sz w:val="20"/>
          <w:szCs w:val="20"/>
        </w:rPr>
        <w:t xml:space="preserve">Sin información que revelar. </w:t>
      </w:r>
    </w:p>
    <w:p w14:paraId="476D4D86" w14:textId="77777777" w:rsidR="00FD160C" w:rsidRPr="00A17DD1" w:rsidRDefault="00FD160C" w:rsidP="00CB41C4">
      <w:pPr>
        <w:tabs>
          <w:tab w:val="left" w:leader="underscore" w:pos="9639"/>
        </w:tabs>
        <w:spacing w:after="0" w:line="240" w:lineRule="auto"/>
        <w:jc w:val="both"/>
        <w:rPr>
          <w:rFonts w:ascii="Arial" w:hAnsi="Arial" w:cs="Arial"/>
          <w:i/>
          <w:iCs/>
          <w:sz w:val="20"/>
          <w:szCs w:val="20"/>
        </w:rPr>
      </w:pPr>
    </w:p>
    <w:p w14:paraId="14C1F7B9" w14:textId="77777777" w:rsidR="00FD160C" w:rsidRPr="00A17DD1" w:rsidRDefault="00FD160C" w:rsidP="00CB41C4">
      <w:pPr>
        <w:tabs>
          <w:tab w:val="left" w:leader="underscore" w:pos="9639"/>
        </w:tabs>
        <w:spacing w:after="0" w:line="240" w:lineRule="auto"/>
        <w:jc w:val="both"/>
        <w:rPr>
          <w:rFonts w:ascii="Arial" w:hAnsi="Arial" w:cs="Arial"/>
          <w:i/>
          <w:iCs/>
          <w:sz w:val="20"/>
          <w:szCs w:val="20"/>
        </w:rPr>
      </w:pPr>
    </w:p>
    <w:p w14:paraId="326C2254" w14:textId="4743F2AF"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Enlistar los de mayor monto de disponibilidad, relacionando aquéllos que conforman el 80% de las disponibilidades:</w:t>
      </w:r>
    </w:p>
    <w:p w14:paraId="03AB3A3A" w14:textId="70492701" w:rsidR="007D1E76" w:rsidRPr="00A17DD1" w:rsidRDefault="00FD160C" w:rsidP="00CB41C4">
      <w:pPr>
        <w:tabs>
          <w:tab w:val="left" w:leader="underscore" w:pos="9639"/>
        </w:tabs>
        <w:spacing w:after="0" w:line="240" w:lineRule="auto"/>
        <w:jc w:val="both"/>
        <w:rPr>
          <w:rFonts w:ascii="Arial" w:hAnsi="Arial" w:cs="Arial"/>
          <w:sz w:val="20"/>
          <w:szCs w:val="20"/>
        </w:rPr>
      </w:pPr>
      <w:r w:rsidRPr="00A17DD1">
        <w:rPr>
          <w:rFonts w:ascii="Arial" w:hAnsi="Arial" w:cs="Arial"/>
          <w:i/>
          <w:iCs/>
          <w:sz w:val="20"/>
          <w:szCs w:val="20"/>
        </w:rPr>
        <w:t>Sin información que revelar.</w:t>
      </w:r>
    </w:p>
    <w:p w14:paraId="5AE5725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2F60B1C6" w14:textId="47BAD216" w:rsidR="007D1E76" w:rsidRPr="00A17DD1" w:rsidRDefault="002722DD" w:rsidP="000C3365">
      <w:pPr>
        <w:pStyle w:val="Ttulo2"/>
        <w:rPr>
          <w:rFonts w:ascii="Arial" w:hAnsi="Arial" w:cs="Arial"/>
          <w:b/>
          <w:color w:val="auto"/>
          <w:sz w:val="20"/>
          <w:szCs w:val="20"/>
        </w:rPr>
      </w:pPr>
      <w:bookmarkStart w:id="9" w:name="_Toc161472874"/>
      <w:r w:rsidRPr="00A17DD1">
        <w:rPr>
          <w:rFonts w:ascii="Arial" w:hAnsi="Arial" w:cs="Arial"/>
          <w:b/>
          <w:color w:val="auto"/>
          <w:sz w:val="20"/>
          <w:szCs w:val="20"/>
        </w:rPr>
        <w:t>9</w:t>
      </w:r>
      <w:r w:rsidR="007D1E76" w:rsidRPr="00A17DD1">
        <w:rPr>
          <w:rFonts w:ascii="Arial" w:hAnsi="Arial" w:cs="Arial"/>
          <w:b/>
          <w:color w:val="auto"/>
          <w:sz w:val="20"/>
          <w:szCs w:val="20"/>
        </w:rPr>
        <w:t>. Reporte de la Recaudación:</w:t>
      </w:r>
      <w:bookmarkEnd w:id="9"/>
    </w:p>
    <w:p w14:paraId="2B90D2EC"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DF860FA" w14:textId="2DBA1D25" w:rsidR="007D1E76"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57FCDF38" w14:textId="77777777" w:rsidR="008C6383" w:rsidRPr="00A17DD1" w:rsidRDefault="008C6383" w:rsidP="00CB41C4">
      <w:pPr>
        <w:tabs>
          <w:tab w:val="left" w:leader="underscore" w:pos="9639"/>
        </w:tabs>
        <w:spacing w:after="0" w:line="240" w:lineRule="auto"/>
        <w:jc w:val="both"/>
        <w:rPr>
          <w:rFonts w:ascii="Arial" w:hAnsi="Arial" w:cs="Arial"/>
          <w:sz w:val="20"/>
          <w:szCs w:val="20"/>
        </w:rPr>
      </w:pPr>
    </w:p>
    <w:p w14:paraId="4FA2E1ED" w14:textId="2D673F7A" w:rsidR="007D1E76" w:rsidRPr="00A17DD1" w:rsidRDefault="008C6383" w:rsidP="00CB41C4">
      <w:pPr>
        <w:tabs>
          <w:tab w:val="left" w:leader="underscore" w:pos="9639"/>
        </w:tabs>
        <w:spacing w:after="0" w:line="240" w:lineRule="auto"/>
        <w:jc w:val="both"/>
        <w:rPr>
          <w:rFonts w:ascii="Arial" w:hAnsi="Arial" w:cs="Arial"/>
          <w:sz w:val="20"/>
          <w:szCs w:val="20"/>
        </w:rPr>
      </w:pPr>
      <w:r w:rsidRPr="008C6383">
        <w:drawing>
          <wp:inline distT="0" distB="0" distL="0" distR="0" wp14:anchorId="1C977F62" wp14:editId="416729C4">
            <wp:extent cx="6151880" cy="2626360"/>
            <wp:effectExtent l="0" t="0" r="127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51880" cy="2626360"/>
                    </a:xfrm>
                    <a:prstGeom prst="rect">
                      <a:avLst/>
                    </a:prstGeom>
                    <a:noFill/>
                    <a:ln>
                      <a:noFill/>
                    </a:ln>
                  </pic:spPr>
                </pic:pic>
              </a:graphicData>
            </a:graphic>
          </wp:inline>
        </w:drawing>
      </w:r>
    </w:p>
    <w:p w14:paraId="2FF0A967" w14:textId="194066C2" w:rsidR="00FD160C" w:rsidRPr="00A17DD1" w:rsidRDefault="00FD160C" w:rsidP="00CB41C4">
      <w:pPr>
        <w:tabs>
          <w:tab w:val="left" w:leader="underscore" w:pos="9639"/>
        </w:tabs>
        <w:spacing w:after="0" w:line="240" w:lineRule="auto"/>
        <w:jc w:val="both"/>
        <w:rPr>
          <w:rFonts w:ascii="Arial" w:hAnsi="Arial" w:cs="Arial"/>
          <w:sz w:val="20"/>
          <w:szCs w:val="20"/>
        </w:rPr>
      </w:pPr>
    </w:p>
    <w:p w14:paraId="36C23337" w14:textId="7B636D18"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Proyección de la recaudación e ingresos en el mediano plazo:</w:t>
      </w:r>
    </w:p>
    <w:p w14:paraId="305D33DF" w14:textId="77777777" w:rsidR="00372341" w:rsidRPr="00A17DD1" w:rsidRDefault="00372341" w:rsidP="00CB41C4">
      <w:pPr>
        <w:tabs>
          <w:tab w:val="left" w:leader="underscore" w:pos="9639"/>
        </w:tabs>
        <w:spacing w:after="0" w:line="240" w:lineRule="auto"/>
        <w:jc w:val="both"/>
        <w:rPr>
          <w:rFonts w:ascii="Arial" w:hAnsi="Arial" w:cs="Arial"/>
          <w:sz w:val="20"/>
          <w:szCs w:val="20"/>
        </w:rPr>
      </w:pPr>
    </w:p>
    <w:p w14:paraId="7C4CE7E2" w14:textId="00693A22" w:rsidR="007D1E76" w:rsidRDefault="00577558" w:rsidP="00CB41C4">
      <w:pPr>
        <w:tabs>
          <w:tab w:val="left" w:leader="underscore" w:pos="9639"/>
        </w:tabs>
        <w:spacing w:after="0" w:line="240" w:lineRule="auto"/>
        <w:jc w:val="both"/>
        <w:rPr>
          <w:rFonts w:ascii="Arial" w:hAnsi="Arial" w:cs="Arial"/>
          <w:sz w:val="20"/>
          <w:szCs w:val="20"/>
        </w:rPr>
      </w:pPr>
      <w:r w:rsidRPr="00577558">
        <w:drawing>
          <wp:inline distT="0" distB="0" distL="0" distR="0" wp14:anchorId="7BCECB29" wp14:editId="4547DE9F">
            <wp:extent cx="3503980" cy="2356760"/>
            <wp:effectExtent l="0" t="0" r="127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3891" cy="2363426"/>
                    </a:xfrm>
                    <a:prstGeom prst="rect">
                      <a:avLst/>
                    </a:prstGeom>
                    <a:noFill/>
                    <a:ln>
                      <a:noFill/>
                    </a:ln>
                  </pic:spPr>
                </pic:pic>
              </a:graphicData>
            </a:graphic>
          </wp:inline>
        </w:drawing>
      </w:r>
    </w:p>
    <w:p w14:paraId="5FE7E29F" w14:textId="5DEDD769" w:rsidR="00577558" w:rsidRDefault="00577558" w:rsidP="00CB41C4">
      <w:pPr>
        <w:tabs>
          <w:tab w:val="left" w:leader="underscore" w:pos="9639"/>
        </w:tabs>
        <w:spacing w:after="0" w:line="240" w:lineRule="auto"/>
        <w:jc w:val="both"/>
        <w:rPr>
          <w:rFonts w:ascii="Arial" w:hAnsi="Arial" w:cs="Arial"/>
          <w:sz w:val="20"/>
          <w:szCs w:val="20"/>
        </w:rPr>
      </w:pPr>
    </w:p>
    <w:p w14:paraId="45B60768" w14:textId="3E4EEB0C" w:rsidR="00577558" w:rsidRPr="00022A6E" w:rsidRDefault="00577558" w:rsidP="00577558">
      <w:pPr>
        <w:spacing w:after="0" w:line="240" w:lineRule="auto"/>
        <w:jc w:val="both"/>
        <w:rPr>
          <w:rFonts w:cs="Calibri"/>
          <w:sz w:val="20"/>
          <w:szCs w:val="20"/>
        </w:rPr>
      </w:pPr>
      <w:r w:rsidRPr="00567DD4">
        <w:rPr>
          <w:rFonts w:cs="Calibri"/>
          <w:sz w:val="20"/>
          <w:szCs w:val="20"/>
        </w:rPr>
        <w:t>Referente a la recaudación de ingresos excedentes en el ejercicio 202</w:t>
      </w:r>
      <w:r>
        <w:rPr>
          <w:rFonts w:cs="Calibri"/>
          <w:sz w:val="20"/>
          <w:szCs w:val="20"/>
        </w:rPr>
        <w:t>4</w:t>
      </w:r>
      <w:r w:rsidRPr="00567DD4">
        <w:rPr>
          <w:rFonts w:cs="Calibri"/>
          <w:sz w:val="20"/>
          <w:szCs w:val="20"/>
        </w:rPr>
        <w:t xml:space="preserve">, </w:t>
      </w:r>
      <w:r>
        <w:rPr>
          <w:rFonts w:cs="Calibri"/>
          <w:sz w:val="20"/>
          <w:szCs w:val="20"/>
        </w:rPr>
        <w:t>al cierre del 2do. Trimestre no se ha ejercido recurso</w:t>
      </w:r>
      <w:r w:rsidR="0061730A">
        <w:rPr>
          <w:rFonts w:cs="Calibri"/>
          <w:sz w:val="20"/>
          <w:szCs w:val="20"/>
        </w:rPr>
        <w:t xml:space="preserve"> de los mismos</w:t>
      </w:r>
      <w:r>
        <w:rPr>
          <w:rFonts w:cs="Calibri"/>
          <w:sz w:val="20"/>
          <w:szCs w:val="20"/>
        </w:rPr>
        <w:t xml:space="preserve">; por </w:t>
      </w:r>
      <w:r w:rsidR="0061730A">
        <w:rPr>
          <w:rFonts w:cs="Calibri"/>
          <w:sz w:val="20"/>
          <w:szCs w:val="20"/>
        </w:rPr>
        <w:t>lo que</w:t>
      </w:r>
      <w:r>
        <w:rPr>
          <w:rFonts w:cs="Calibri"/>
          <w:sz w:val="20"/>
          <w:szCs w:val="20"/>
        </w:rPr>
        <w:t>, el presupuesto de egreso no refleja el importe recaudado en dicho concepto</w:t>
      </w:r>
      <w:r w:rsidR="0061730A">
        <w:rPr>
          <w:rFonts w:cs="Calibri"/>
          <w:sz w:val="20"/>
          <w:szCs w:val="20"/>
        </w:rPr>
        <w:t xml:space="preserve">. Derivado de lo </w:t>
      </w:r>
      <w:r w:rsidR="00A201C3">
        <w:rPr>
          <w:rFonts w:cs="Calibri"/>
          <w:sz w:val="20"/>
          <w:szCs w:val="20"/>
        </w:rPr>
        <w:t>anterior</w:t>
      </w:r>
      <w:r w:rsidRPr="00567DD4">
        <w:rPr>
          <w:rFonts w:cs="Calibri"/>
          <w:sz w:val="20"/>
          <w:szCs w:val="20"/>
        </w:rPr>
        <w:t>, los fondos</w:t>
      </w:r>
      <w:r>
        <w:rPr>
          <w:rFonts w:cs="Calibri"/>
          <w:sz w:val="20"/>
          <w:szCs w:val="20"/>
        </w:rPr>
        <w:t xml:space="preserve"> que corresponden al ingreso excedente</w:t>
      </w:r>
      <w:r w:rsidRPr="00567DD4">
        <w:rPr>
          <w:rFonts w:cs="Calibri"/>
          <w:sz w:val="20"/>
          <w:szCs w:val="20"/>
        </w:rPr>
        <w:t xml:space="preserve"> no guardan equilibrio presupuestal.</w:t>
      </w:r>
    </w:p>
    <w:p w14:paraId="086DC3B8" w14:textId="77777777" w:rsidR="00577558" w:rsidRPr="00A17DD1" w:rsidRDefault="00577558" w:rsidP="00CB41C4">
      <w:pPr>
        <w:tabs>
          <w:tab w:val="left" w:leader="underscore" w:pos="9639"/>
        </w:tabs>
        <w:spacing w:after="0" w:line="240" w:lineRule="auto"/>
        <w:jc w:val="both"/>
        <w:rPr>
          <w:rFonts w:ascii="Arial" w:hAnsi="Arial" w:cs="Arial"/>
          <w:sz w:val="20"/>
          <w:szCs w:val="20"/>
        </w:rPr>
      </w:pPr>
    </w:p>
    <w:p w14:paraId="26FDB1A9" w14:textId="77777777" w:rsidR="00231FBE" w:rsidRPr="00A17DD1" w:rsidRDefault="00231FBE" w:rsidP="00CB41C4">
      <w:pPr>
        <w:tabs>
          <w:tab w:val="left" w:leader="underscore" w:pos="9639"/>
        </w:tabs>
        <w:spacing w:after="0" w:line="240" w:lineRule="auto"/>
        <w:jc w:val="both"/>
        <w:rPr>
          <w:rFonts w:ascii="Arial" w:hAnsi="Arial" w:cs="Arial"/>
          <w:sz w:val="20"/>
          <w:szCs w:val="20"/>
        </w:rPr>
      </w:pPr>
    </w:p>
    <w:p w14:paraId="2D68C3FC" w14:textId="7BAEB103" w:rsidR="007D1E76" w:rsidRPr="00A17DD1" w:rsidRDefault="007D1E76" w:rsidP="000C3365">
      <w:pPr>
        <w:pStyle w:val="Ttulo2"/>
        <w:rPr>
          <w:rFonts w:ascii="Arial" w:hAnsi="Arial" w:cs="Arial"/>
          <w:b/>
          <w:color w:val="auto"/>
          <w:sz w:val="20"/>
          <w:szCs w:val="20"/>
        </w:rPr>
      </w:pPr>
      <w:bookmarkStart w:id="10" w:name="_Toc161472875"/>
      <w:r w:rsidRPr="00A17DD1">
        <w:rPr>
          <w:rFonts w:ascii="Arial" w:hAnsi="Arial" w:cs="Arial"/>
          <w:b/>
          <w:color w:val="auto"/>
          <w:sz w:val="20"/>
          <w:szCs w:val="20"/>
        </w:rPr>
        <w:t>1</w:t>
      </w:r>
      <w:r w:rsidR="00106EE9" w:rsidRPr="00A17DD1">
        <w:rPr>
          <w:rFonts w:ascii="Arial" w:hAnsi="Arial" w:cs="Arial"/>
          <w:b/>
          <w:color w:val="auto"/>
          <w:sz w:val="20"/>
          <w:szCs w:val="20"/>
        </w:rPr>
        <w:t>0</w:t>
      </w:r>
      <w:r w:rsidRPr="00A17DD1">
        <w:rPr>
          <w:rFonts w:ascii="Arial" w:hAnsi="Arial" w:cs="Arial"/>
          <w:b/>
          <w:color w:val="auto"/>
          <w:sz w:val="20"/>
          <w:szCs w:val="20"/>
        </w:rPr>
        <w:t>. Información sobre la Deuda y el R</w:t>
      </w:r>
      <w:r w:rsidR="005E231E" w:rsidRPr="00A17DD1">
        <w:rPr>
          <w:rFonts w:ascii="Arial" w:hAnsi="Arial" w:cs="Arial"/>
          <w:b/>
          <w:color w:val="auto"/>
          <w:sz w:val="20"/>
          <w:szCs w:val="20"/>
        </w:rPr>
        <w:t>eporte Analítico de la Deuda:</w:t>
      </w:r>
      <w:bookmarkEnd w:id="10"/>
    </w:p>
    <w:p w14:paraId="2733703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B63D2E0" w14:textId="1EA24B2C"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Utilizar al menos los siguientes indicadores: deuda respecto al PIB y deuda respecto a la recaudación tomando, como mínimo, un período igual o menor a 5 años.</w:t>
      </w:r>
    </w:p>
    <w:p w14:paraId="60C8CE67" w14:textId="77777777" w:rsidR="00372341" w:rsidRPr="00A17DD1" w:rsidRDefault="00372341" w:rsidP="00372341">
      <w:pPr>
        <w:spacing w:after="0" w:line="240" w:lineRule="auto"/>
        <w:jc w:val="both"/>
        <w:rPr>
          <w:rFonts w:ascii="Arial" w:hAnsi="Arial" w:cs="Arial"/>
          <w:i/>
          <w:iCs/>
          <w:sz w:val="20"/>
          <w:szCs w:val="20"/>
        </w:rPr>
      </w:pPr>
    </w:p>
    <w:p w14:paraId="2E26A308" w14:textId="4B6AF1BD" w:rsidR="00372341" w:rsidRPr="00A17DD1" w:rsidRDefault="00372341" w:rsidP="00372341">
      <w:pPr>
        <w:spacing w:after="0" w:line="240" w:lineRule="auto"/>
        <w:jc w:val="both"/>
        <w:rPr>
          <w:rFonts w:ascii="Arial" w:hAnsi="Arial" w:cs="Arial"/>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532A97B9" w14:textId="77777777" w:rsidR="00372341" w:rsidRPr="00A17DD1" w:rsidRDefault="00372341" w:rsidP="00CB41C4">
      <w:pPr>
        <w:tabs>
          <w:tab w:val="left" w:leader="underscore" w:pos="9639"/>
        </w:tabs>
        <w:spacing w:after="0" w:line="240" w:lineRule="auto"/>
        <w:jc w:val="both"/>
        <w:rPr>
          <w:rFonts w:ascii="Arial" w:hAnsi="Arial" w:cs="Arial"/>
          <w:sz w:val="20"/>
          <w:szCs w:val="20"/>
        </w:rPr>
      </w:pPr>
    </w:p>
    <w:p w14:paraId="26034E41"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Información de manera agrupada por tipo de valor gubernamental o instrumento financiero en la que se considere</w:t>
      </w:r>
      <w:r w:rsidR="001973A2" w:rsidRPr="00A17DD1">
        <w:rPr>
          <w:rFonts w:ascii="Arial" w:hAnsi="Arial" w:cs="Arial"/>
          <w:sz w:val="20"/>
          <w:szCs w:val="20"/>
        </w:rPr>
        <w:t>n</w:t>
      </w:r>
      <w:r w:rsidRPr="00A17DD1">
        <w:rPr>
          <w:rFonts w:ascii="Arial" w:hAnsi="Arial" w:cs="Arial"/>
          <w:sz w:val="20"/>
          <w:szCs w:val="20"/>
        </w:rPr>
        <w:t xml:space="preserve"> intereses, comisiones, tasa, perfil de vencimiento y otros gastos de la deuda.</w:t>
      </w:r>
    </w:p>
    <w:p w14:paraId="67DDEBBA" w14:textId="12A33118"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 xml:space="preserve">* Se </w:t>
      </w:r>
      <w:r w:rsidR="000C3365" w:rsidRPr="00A17DD1">
        <w:rPr>
          <w:rFonts w:ascii="Arial" w:hAnsi="Arial" w:cs="Arial"/>
          <w:sz w:val="20"/>
          <w:szCs w:val="20"/>
        </w:rPr>
        <w:t>anexará</w:t>
      </w:r>
      <w:r w:rsidRPr="00A17DD1">
        <w:rPr>
          <w:rFonts w:ascii="Arial" w:hAnsi="Arial" w:cs="Arial"/>
          <w:sz w:val="20"/>
          <w:szCs w:val="20"/>
        </w:rPr>
        <w:t xml:space="preserve"> la informació</w:t>
      </w:r>
      <w:r w:rsidR="005E231E" w:rsidRPr="00A17DD1">
        <w:rPr>
          <w:rFonts w:ascii="Arial" w:hAnsi="Arial" w:cs="Arial"/>
          <w:sz w:val="20"/>
          <w:szCs w:val="20"/>
        </w:rPr>
        <w:t>n en las notas de desglose.</w:t>
      </w:r>
    </w:p>
    <w:p w14:paraId="07B043AD" w14:textId="77777777" w:rsidR="00372341" w:rsidRPr="00A17DD1" w:rsidRDefault="00372341" w:rsidP="00372341">
      <w:pPr>
        <w:spacing w:after="0" w:line="240" w:lineRule="auto"/>
        <w:jc w:val="both"/>
        <w:rPr>
          <w:rFonts w:ascii="Arial" w:hAnsi="Arial" w:cs="Arial"/>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199F19DF" w14:textId="77777777" w:rsidR="00372341" w:rsidRPr="00A17DD1" w:rsidRDefault="00372341" w:rsidP="00CB41C4">
      <w:pPr>
        <w:tabs>
          <w:tab w:val="left" w:leader="underscore" w:pos="9639"/>
        </w:tabs>
        <w:spacing w:after="0" w:line="240" w:lineRule="auto"/>
        <w:jc w:val="both"/>
        <w:rPr>
          <w:rFonts w:ascii="Arial" w:hAnsi="Arial" w:cs="Arial"/>
          <w:sz w:val="20"/>
          <w:szCs w:val="20"/>
        </w:rPr>
      </w:pPr>
    </w:p>
    <w:p w14:paraId="19C64A34" w14:textId="7E11CC12" w:rsidR="007D1E76" w:rsidRPr="00A17DD1" w:rsidRDefault="007D1E76" w:rsidP="000C3365">
      <w:pPr>
        <w:pStyle w:val="Ttulo2"/>
        <w:rPr>
          <w:rFonts w:ascii="Arial" w:hAnsi="Arial" w:cs="Arial"/>
          <w:b/>
          <w:color w:val="auto"/>
          <w:sz w:val="20"/>
          <w:szCs w:val="20"/>
        </w:rPr>
      </w:pPr>
      <w:bookmarkStart w:id="11" w:name="_Toc161472876"/>
      <w:r w:rsidRPr="00A17DD1">
        <w:rPr>
          <w:rFonts w:ascii="Arial" w:hAnsi="Arial" w:cs="Arial"/>
          <w:b/>
          <w:color w:val="auto"/>
          <w:sz w:val="20"/>
          <w:szCs w:val="20"/>
        </w:rPr>
        <w:t>1</w:t>
      </w:r>
      <w:r w:rsidR="005F2900" w:rsidRPr="00A17DD1">
        <w:rPr>
          <w:rFonts w:ascii="Arial" w:hAnsi="Arial" w:cs="Arial"/>
          <w:b/>
          <w:color w:val="auto"/>
          <w:sz w:val="20"/>
          <w:szCs w:val="20"/>
        </w:rPr>
        <w:t>1</w:t>
      </w:r>
      <w:r w:rsidRPr="00A17DD1">
        <w:rPr>
          <w:rFonts w:ascii="Arial" w:hAnsi="Arial" w:cs="Arial"/>
          <w:b/>
          <w:color w:val="auto"/>
          <w:sz w:val="20"/>
          <w:szCs w:val="20"/>
        </w:rPr>
        <w:t>.</w:t>
      </w:r>
      <w:r w:rsidR="005E231E" w:rsidRPr="00A17DD1">
        <w:rPr>
          <w:rFonts w:ascii="Arial" w:hAnsi="Arial" w:cs="Arial"/>
          <w:b/>
          <w:color w:val="auto"/>
          <w:sz w:val="20"/>
          <w:szCs w:val="20"/>
        </w:rPr>
        <w:t xml:space="preserve"> Calificaciones otorgadas:</w:t>
      </w:r>
      <w:bookmarkEnd w:id="11"/>
    </w:p>
    <w:p w14:paraId="67197CE9"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7D9F68C"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Informar, tanto del ente público como cualquier transacción realizada, que haya sido sujeta a una calificación crediticia:</w:t>
      </w:r>
    </w:p>
    <w:p w14:paraId="49BB5A74" w14:textId="77777777"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Esta respuesta sólo es Aplicable a la contabilidad Central, por lo tanto, este espacio no le aplicará al Sector Paraestatal.</w:t>
      </w:r>
    </w:p>
    <w:p w14:paraId="69F25506"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10B4C763" w14:textId="7FFDB478" w:rsidR="007D1E76" w:rsidRPr="00A17DD1" w:rsidRDefault="007D1E76" w:rsidP="000C3365">
      <w:pPr>
        <w:pStyle w:val="Ttulo2"/>
        <w:rPr>
          <w:rFonts w:ascii="Arial" w:hAnsi="Arial" w:cs="Arial"/>
          <w:b/>
          <w:color w:val="auto"/>
          <w:sz w:val="20"/>
          <w:szCs w:val="20"/>
        </w:rPr>
      </w:pPr>
      <w:bookmarkStart w:id="12" w:name="_Toc161472877"/>
      <w:r w:rsidRPr="00A17DD1">
        <w:rPr>
          <w:rFonts w:ascii="Arial" w:hAnsi="Arial" w:cs="Arial"/>
          <w:b/>
          <w:color w:val="auto"/>
          <w:sz w:val="20"/>
          <w:szCs w:val="20"/>
        </w:rPr>
        <w:t>1</w:t>
      </w:r>
      <w:r w:rsidR="00F6759B" w:rsidRPr="00A17DD1">
        <w:rPr>
          <w:rFonts w:ascii="Arial" w:hAnsi="Arial" w:cs="Arial"/>
          <w:b/>
          <w:color w:val="auto"/>
          <w:sz w:val="20"/>
          <w:szCs w:val="20"/>
        </w:rPr>
        <w:t>2</w:t>
      </w:r>
      <w:r w:rsidRPr="00A17DD1">
        <w:rPr>
          <w:rFonts w:ascii="Arial" w:hAnsi="Arial" w:cs="Arial"/>
          <w:b/>
          <w:color w:val="auto"/>
          <w:sz w:val="20"/>
          <w:szCs w:val="20"/>
        </w:rPr>
        <w:t>. Proceso de Mejora:</w:t>
      </w:r>
      <w:bookmarkEnd w:id="12"/>
    </w:p>
    <w:p w14:paraId="0251CC4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171672D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informará de:</w:t>
      </w:r>
    </w:p>
    <w:p w14:paraId="533FB084"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4D639AB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a)</w:t>
      </w:r>
      <w:r w:rsidRPr="00A17DD1">
        <w:rPr>
          <w:rFonts w:ascii="Arial" w:hAnsi="Arial" w:cs="Arial"/>
          <w:sz w:val="20"/>
          <w:szCs w:val="20"/>
        </w:rPr>
        <w:t xml:space="preserve"> Principales Políticas de control interno:</w:t>
      </w:r>
    </w:p>
    <w:p w14:paraId="2A042CA2" w14:textId="77777777" w:rsidR="00372341" w:rsidRPr="00A17DD1" w:rsidRDefault="00372341" w:rsidP="00372341">
      <w:pPr>
        <w:spacing w:after="0" w:line="240" w:lineRule="auto"/>
        <w:jc w:val="both"/>
        <w:rPr>
          <w:rFonts w:ascii="Arial" w:hAnsi="Arial" w:cs="Arial"/>
          <w:sz w:val="20"/>
          <w:szCs w:val="20"/>
        </w:rPr>
      </w:pPr>
    </w:p>
    <w:p w14:paraId="10AFC1FE" w14:textId="056FB876"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 xml:space="preserve">Conforme a los Lineamientos Generales de Control Interno y sus Normas de Aplicación para la Administración Pública del Estado de Guanajuato, </w:t>
      </w:r>
      <w:r w:rsidRPr="00A17DD1">
        <w:rPr>
          <w:rFonts w:ascii="Arial" w:hAnsi="Arial" w:cs="Arial"/>
          <w:sz w:val="20"/>
          <w:szCs w:val="20"/>
          <w:lang w:val="es-ES_tradnl"/>
        </w:rPr>
        <w:t xml:space="preserve">el Instituto Tecnológico Superior de Guanajuato, ha establecido su contenido en </w:t>
      </w:r>
      <w:r w:rsidRPr="00A17DD1">
        <w:rPr>
          <w:rFonts w:ascii="Arial" w:hAnsi="Arial" w:cs="Arial"/>
          <w:sz w:val="20"/>
          <w:szCs w:val="20"/>
        </w:rPr>
        <w:t>el Sistema Integral de Gestión a la Calidad (SIGCA) Certificación ISO-9001-2015 e ISO-14001-2015; mismos que contemplan el proceso sustantivo, administración, procedimientos, metas, indicadores, seguimiento y supervisión.</w:t>
      </w:r>
    </w:p>
    <w:p w14:paraId="41B1D9C8" w14:textId="77777777" w:rsidR="00372341" w:rsidRPr="00A17DD1" w:rsidRDefault="00372341" w:rsidP="00372341">
      <w:pPr>
        <w:spacing w:after="0" w:line="240" w:lineRule="auto"/>
        <w:jc w:val="both"/>
        <w:rPr>
          <w:rFonts w:ascii="Arial" w:hAnsi="Arial" w:cs="Arial"/>
          <w:sz w:val="20"/>
          <w:szCs w:val="20"/>
        </w:rPr>
      </w:pPr>
    </w:p>
    <w:p w14:paraId="5EFCA373" w14:textId="77777777"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Además de lo anterior, cada ejercicio difundimos al interior del Instituto el contenido de los Lineamientos Generales de la Administración Pública Estatal, emitidos por la Secretaría de Finanzas, Inversión y Administración, los cuales permiten en su conjunto establecer líneas de acción de aplicación, seguimiento y estricto apego del ejercicio de los recursos públicos.</w:t>
      </w:r>
    </w:p>
    <w:p w14:paraId="1D174BCB" w14:textId="77777777" w:rsidR="00372341" w:rsidRPr="00A17DD1" w:rsidRDefault="00372341" w:rsidP="00372341">
      <w:pPr>
        <w:spacing w:after="0" w:line="240" w:lineRule="auto"/>
        <w:jc w:val="both"/>
        <w:rPr>
          <w:rFonts w:ascii="Arial" w:hAnsi="Arial" w:cs="Arial"/>
          <w:sz w:val="20"/>
          <w:szCs w:val="20"/>
        </w:rPr>
      </w:pPr>
    </w:p>
    <w:p w14:paraId="59CFF4B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b/>
          <w:sz w:val="20"/>
          <w:szCs w:val="20"/>
        </w:rPr>
        <w:t>b)</w:t>
      </w:r>
      <w:r w:rsidRPr="00A17DD1">
        <w:rPr>
          <w:rFonts w:ascii="Arial" w:hAnsi="Arial" w:cs="Arial"/>
          <w:sz w:val="20"/>
          <w:szCs w:val="20"/>
        </w:rPr>
        <w:t xml:space="preserve"> Medidas de desempeño financiero, metas y alcance:</w:t>
      </w:r>
    </w:p>
    <w:p w14:paraId="5D8BA1FA" w14:textId="301F7EFB"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Este rubro se presenta de forma analítica a través de los Informes Programáticos, en el estado financiero Indicador para Resultados IR_2024.</w:t>
      </w:r>
    </w:p>
    <w:p w14:paraId="6DD757E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795495BA"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3D010C2A" w14:textId="279F5D07" w:rsidR="007D1E76" w:rsidRPr="00A17DD1" w:rsidRDefault="007D1E76" w:rsidP="000C3365">
      <w:pPr>
        <w:pStyle w:val="Ttulo2"/>
        <w:rPr>
          <w:rFonts w:ascii="Arial" w:hAnsi="Arial" w:cs="Arial"/>
          <w:b/>
          <w:color w:val="auto"/>
          <w:sz w:val="20"/>
          <w:szCs w:val="20"/>
        </w:rPr>
      </w:pPr>
      <w:bookmarkStart w:id="13" w:name="_Toc161472878"/>
      <w:r w:rsidRPr="00A17DD1">
        <w:rPr>
          <w:rFonts w:ascii="Arial" w:hAnsi="Arial" w:cs="Arial"/>
          <w:b/>
          <w:color w:val="auto"/>
          <w:sz w:val="20"/>
          <w:szCs w:val="20"/>
        </w:rPr>
        <w:t>1</w:t>
      </w:r>
      <w:r w:rsidR="00F6759B" w:rsidRPr="00A17DD1">
        <w:rPr>
          <w:rFonts w:ascii="Arial" w:hAnsi="Arial" w:cs="Arial"/>
          <w:b/>
          <w:color w:val="auto"/>
          <w:sz w:val="20"/>
          <w:szCs w:val="20"/>
        </w:rPr>
        <w:t>3</w:t>
      </w:r>
      <w:r w:rsidR="005E231E" w:rsidRPr="00A17DD1">
        <w:rPr>
          <w:rFonts w:ascii="Arial" w:hAnsi="Arial" w:cs="Arial"/>
          <w:b/>
          <w:color w:val="auto"/>
          <w:sz w:val="20"/>
          <w:szCs w:val="20"/>
        </w:rPr>
        <w:t>. Información por Segmentos:</w:t>
      </w:r>
      <w:bookmarkEnd w:id="13"/>
    </w:p>
    <w:p w14:paraId="6C3C6A04"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4BC1596" w14:textId="46D52ADD" w:rsidR="007D1E76" w:rsidRPr="00A17DD1" w:rsidRDefault="00806269"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r w:rsidR="007D1E76" w:rsidRPr="00A17DD1">
        <w:rPr>
          <w:rFonts w:ascii="Arial" w:hAnsi="Arial" w:cs="Arial"/>
          <w:sz w:val="20"/>
          <w:szCs w:val="20"/>
        </w:rPr>
        <w:t>.</w:t>
      </w:r>
    </w:p>
    <w:p w14:paraId="1E94F855"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4078A6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Consecuentemente, esta información contribuye al análisis más preciso de la situación financiera, grados y fuentes de riesgo y crec</w:t>
      </w:r>
      <w:r w:rsidR="005E231E" w:rsidRPr="00A17DD1">
        <w:rPr>
          <w:rFonts w:ascii="Arial" w:hAnsi="Arial" w:cs="Arial"/>
          <w:sz w:val="20"/>
          <w:szCs w:val="20"/>
        </w:rPr>
        <w:t>imiento potencial de negocio.</w:t>
      </w:r>
    </w:p>
    <w:p w14:paraId="4054793D"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03BBF660"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CE772DA" w14:textId="7AAD6A4E" w:rsidR="007D1E76" w:rsidRPr="00A17DD1" w:rsidRDefault="007D1E76" w:rsidP="000C3365">
      <w:pPr>
        <w:pStyle w:val="Ttulo2"/>
        <w:rPr>
          <w:rFonts w:ascii="Arial" w:hAnsi="Arial" w:cs="Arial"/>
          <w:b/>
          <w:color w:val="auto"/>
          <w:sz w:val="20"/>
          <w:szCs w:val="20"/>
        </w:rPr>
      </w:pPr>
      <w:bookmarkStart w:id="14" w:name="_Toc161472879"/>
      <w:r w:rsidRPr="00A17DD1">
        <w:rPr>
          <w:rFonts w:ascii="Arial" w:hAnsi="Arial" w:cs="Arial"/>
          <w:b/>
          <w:color w:val="auto"/>
          <w:sz w:val="20"/>
          <w:szCs w:val="20"/>
        </w:rPr>
        <w:t>1</w:t>
      </w:r>
      <w:r w:rsidR="004A1077" w:rsidRPr="00A17DD1">
        <w:rPr>
          <w:rFonts w:ascii="Arial" w:hAnsi="Arial" w:cs="Arial"/>
          <w:b/>
          <w:color w:val="auto"/>
          <w:sz w:val="20"/>
          <w:szCs w:val="20"/>
        </w:rPr>
        <w:t>4</w:t>
      </w:r>
      <w:r w:rsidRPr="00A17DD1">
        <w:rPr>
          <w:rFonts w:ascii="Arial" w:hAnsi="Arial" w:cs="Arial"/>
          <w:b/>
          <w:color w:val="auto"/>
          <w:sz w:val="20"/>
          <w:szCs w:val="20"/>
        </w:rPr>
        <w:t>. E</w:t>
      </w:r>
      <w:r w:rsidR="005E231E" w:rsidRPr="00A17DD1">
        <w:rPr>
          <w:rFonts w:ascii="Arial" w:hAnsi="Arial" w:cs="Arial"/>
          <w:b/>
          <w:color w:val="auto"/>
          <w:sz w:val="20"/>
          <w:szCs w:val="20"/>
        </w:rPr>
        <w:t>ventos Posteriores al Cierre:</w:t>
      </w:r>
      <w:bookmarkEnd w:id="14"/>
    </w:p>
    <w:p w14:paraId="362DF4F4"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64A566F4" w14:textId="77777777" w:rsidR="00372341" w:rsidRPr="00A17DD1" w:rsidRDefault="007D1E76" w:rsidP="00372341">
      <w:pPr>
        <w:spacing w:after="0" w:line="240" w:lineRule="auto"/>
        <w:jc w:val="both"/>
        <w:rPr>
          <w:rFonts w:ascii="Arial" w:hAnsi="Arial" w:cs="Arial"/>
          <w:color w:val="FF0000"/>
          <w:sz w:val="20"/>
          <w:szCs w:val="20"/>
        </w:rPr>
      </w:pPr>
      <w:r w:rsidRPr="00A17DD1">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w:t>
      </w:r>
      <w:r w:rsidR="005E231E" w:rsidRPr="00A17DD1">
        <w:rPr>
          <w:rFonts w:ascii="Arial" w:hAnsi="Arial" w:cs="Arial"/>
          <w:sz w:val="20"/>
          <w:szCs w:val="20"/>
        </w:rPr>
        <w:t>cían a la fecha de cierre.</w:t>
      </w:r>
      <w:r w:rsidR="005E231E" w:rsidRPr="00A17DD1">
        <w:rPr>
          <w:rFonts w:ascii="Arial" w:hAnsi="Arial" w:cs="Arial"/>
          <w:sz w:val="20"/>
          <w:szCs w:val="20"/>
        </w:rPr>
        <w:cr/>
      </w:r>
      <w:r w:rsidR="00372341" w:rsidRPr="00A17DD1">
        <w:rPr>
          <w:rFonts w:ascii="Arial" w:hAnsi="Arial" w:cs="Arial"/>
          <w:i/>
          <w:iCs/>
          <w:sz w:val="20"/>
          <w:szCs w:val="20"/>
        </w:rPr>
        <w:t>Sin información que revelar</w:t>
      </w:r>
      <w:r w:rsidR="00372341" w:rsidRPr="00A17DD1">
        <w:rPr>
          <w:rFonts w:ascii="Arial" w:hAnsi="Arial" w:cs="Arial"/>
          <w:sz w:val="20"/>
          <w:szCs w:val="20"/>
        </w:rPr>
        <w:t xml:space="preserve">. </w:t>
      </w:r>
    </w:p>
    <w:p w14:paraId="55D08D4D" w14:textId="386B7AA8" w:rsidR="007D1E76" w:rsidRPr="00A17DD1" w:rsidRDefault="007D1E76" w:rsidP="00CB41C4">
      <w:pPr>
        <w:tabs>
          <w:tab w:val="left" w:leader="underscore" w:pos="9639"/>
        </w:tabs>
        <w:spacing w:after="0" w:line="240" w:lineRule="auto"/>
        <w:jc w:val="both"/>
        <w:rPr>
          <w:rFonts w:ascii="Arial" w:hAnsi="Arial" w:cs="Arial"/>
          <w:sz w:val="20"/>
          <w:szCs w:val="20"/>
        </w:rPr>
      </w:pPr>
    </w:p>
    <w:p w14:paraId="3CC9AECC" w14:textId="4681A2A9" w:rsidR="007D1E76" w:rsidRPr="00A17DD1" w:rsidRDefault="005E231E" w:rsidP="000C3365">
      <w:pPr>
        <w:pStyle w:val="Ttulo2"/>
        <w:rPr>
          <w:rFonts w:ascii="Arial" w:hAnsi="Arial" w:cs="Arial"/>
          <w:b/>
          <w:color w:val="auto"/>
          <w:sz w:val="20"/>
          <w:szCs w:val="20"/>
        </w:rPr>
      </w:pPr>
      <w:bookmarkStart w:id="15" w:name="_Toc161472880"/>
      <w:r w:rsidRPr="00A17DD1">
        <w:rPr>
          <w:rFonts w:ascii="Arial" w:hAnsi="Arial" w:cs="Arial"/>
          <w:b/>
          <w:color w:val="auto"/>
          <w:sz w:val="20"/>
          <w:szCs w:val="20"/>
        </w:rPr>
        <w:t>1</w:t>
      </w:r>
      <w:r w:rsidR="001C34BC" w:rsidRPr="00A17DD1">
        <w:rPr>
          <w:rFonts w:ascii="Arial" w:hAnsi="Arial" w:cs="Arial"/>
          <w:b/>
          <w:color w:val="auto"/>
          <w:sz w:val="20"/>
          <w:szCs w:val="20"/>
        </w:rPr>
        <w:t>5</w:t>
      </w:r>
      <w:r w:rsidRPr="00A17DD1">
        <w:rPr>
          <w:rFonts w:ascii="Arial" w:hAnsi="Arial" w:cs="Arial"/>
          <w:b/>
          <w:color w:val="auto"/>
          <w:sz w:val="20"/>
          <w:szCs w:val="20"/>
        </w:rPr>
        <w:t>. Partes Relacionadas:</w:t>
      </w:r>
      <w:bookmarkEnd w:id="15"/>
    </w:p>
    <w:p w14:paraId="20438A33"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A1981F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Se debe establecer por escrito que no existen partes relacionadas que pudieran ejercer influencia significativa sobre la toma de decisiones financieras y operativas:</w:t>
      </w:r>
    </w:p>
    <w:p w14:paraId="15DDC052" w14:textId="77777777" w:rsidR="00372341" w:rsidRPr="00A17DD1" w:rsidRDefault="00372341" w:rsidP="00372341">
      <w:pPr>
        <w:spacing w:after="0" w:line="240" w:lineRule="auto"/>
        <w:jc w:val="both"/>
        <w:rPr>
          <w:rFonts w:ascii="Arial" w:hAnsi="Arial" w:cs="Arial"/>
          <w:color w:val="FF0000"/>
          <w:sz w:val="20"/>
          <w:szCs w:val="20"/>
        </w:rPr>
      </w:pPr>
      <w:r w:rsidRPr="00A17DD1">
        <w:rPr>
          <w:rFonts w:ascii="Arial" w:hAnsi="Arial" w:cs="Arial"/>
          <w:i/>
          <w:iCs/>
          <w:sz w:val="20"/>
          <w:szCs w:val="20"/>
        </w:rPr>
        <w:t>Sin información que revelar</w:t>
      </w:r>
      <w:r w:rsidRPr="00A17DD1">
        <w:rPr>
          <w:rFonts w:ascii="Arial" w:hAnsi="Arial" w:cs="Arial"/>
          <w:sz w:val="20"/>
          <w:szCs w:val="20"/>
        </w:rPr>
        <w:t xml:space="preserve">. </w:t>
      </w:r>
    </w:p>
    <w:p w14:paraId="17CEED12"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06707DA2" w14:textId="111599B2" w:rsidR="007D1E76" w:rsidRPr="00A17DD1" w:rsidRDefault="007D1E76" w:rsidP="00F46719">
      <w:pPr>
        <w:pStyle w:val="Ttulo2"/>
        <w:rPr>
          <w:rFonts w:ascii="Arial" w:hAnsi="Arial" w:cs="Arial"/>
          <w:b/>
          <w:color w:val="auto"/>
          <w:sz w:val="20"/>
          <w:szCs w:val="20"/>
        </w:rPr>
      </w:pPr>
      <w:bookmarkStart w:id="16" w:name="_Toc161472881"/>
      <w:r w:rsidRPr="00A17DD1">
        <w:rPr>
          <w:rFonts w:ascii="Arial" w:hAnsi="Arial" w:cs="Arial"/>
          <w:b/>
          <w:color w:val="auto"/>
          <w:sz w:val="20"/>
          <w:szCs w:val="20"/>
        </w:rPr>
        <w:t>1</w:t>
      </w:r>
      <w:r w:rsidR="001C34BC" w:rsidRPr="00A17DD1">
        <w:rPr>
          <w:rFonts w:ascii="Arial" w:hAnsi="Arial" w:cs="Arial"/>
          <w:b/>
          <w:color w:val="auto"/>
          <w:sz w:val="20"/>
          <w:szCs w:val="20"/>
        </w:rPr>
        <w:t>6</w:t>
      </w:r>
      <w:r w:rsidRPr="00A17DD1">
        <w:rPr>
          <w:rFonts w:ascii="Arial" w:hAnsi="Arial" w:cs="Arial"/>
          <w:b/>
          <w:color w:val="auto"/>
          <w:sz w:val="20"/>
          <w:szCs w:val="20"/>
        </w:rPr>
        <w:t xml:space="preserve">. </w:t>
      </w:r>
      <w:r w:rsidR="001973A2" w:rsidRPr="00A17DD1">
        <w:rPr>
          <w:rFonts w:ascii="Arial" w:hAnsi="Arial" w:cs="Arial"/>
          <w:b/>
          <w:color w:val="auto"/>
          <w:sz w:val="20"/>
          <w:szCs w:val="20"/>
        </w:rPr>
        <w:t>Responsabilidad Sobre la Presentación Razonable de la Información Contable</w:t>
      </w:r>
      <w:r w:rsidR="005E231E" w:rsidRPr="00A17DD1">
        <w:rPr>
          <w:rFonts w:ascii="Arial" w:hAnsi="Arial" w:cs="Arial"/>
          <w:b/>
          <w:color w:val="auto"/>
          <w:sz w:val="20"/>
          <w:szCs w:val="20"/>
        </w:rPr>
        <w:t>:</w:t>
      </w:r>
      <w:bookmarkEnd w:id="16"/>
    </w:p>
    <w:p w14:paraId="24905817" w14:textId="77777777" w:rsidR="007D1E76" w:rsidRPr="00A17DD1" w:rsidRDefault="007D1E76" w:rsidP="00CB41C4">
      <w:pPr>
        <w:tabs>
          <w:tab w:val="left" w:leader="underscore" w:pos="9639"/>
        </w:tabs>
        <w:spacing w:after="0" w:line="240" w:lineRule="auto"/>
        <w:jc w:val="both"/>
        <w:rPr>
          <w:rFonts w:ascii="Arial" w:hAnsi="Arial" w:cs="Arial"/>
          <w:sz w:val="20"/>
          <w:szCs w:val="20"/>
        </w:rPr>
      </w:pPr>
    </w:p>
    <w:p w14:paraId="50903296" w14:textId="301DCA6D" w:rsidR="007D1E76" w:rsidRPr="00A17DD1" w:rsidRDefault="00C4625D" w:rsidP="00CB41C4">
      <w:pPr>
        <w:tabs>
          <w:tab w:val="left" w:leader="underscore" w:pos="9639"/>
        </w:tabs>
        <w:spacing w:after="0" w:line="240" w:lineRule="auto"/>
        <w:jc w:val="both"/>
        <w:rPr>
          <w:rFonts w:ascii="Arial" w:hAnsi="Arial" w:cs="Arial"/>
          <w:sz w:val="20"/>
          <w:szCs w:val="20"/>
        </w:rPr>
      </w:pPr>
      <w:r w:rsidRPr="00A17DD1">
        <w:rPr>
          <w:rFonts w:ascii="Arial" w:hAnsi="Arial" w:cs="Arial"/>
          <w:sz w:val="20"/>
          <w:szCs w:val="20"/>
        </w:rPr>
        <w:t>La Información Contable deberá estar firmada en cada página de la misma e incluir al final la siguiente leyenda: “Bajo protesta de decir verdad declaramos que los Estados Financieros y sus notas, son razonablemente correctos y son responsabilidad del emisor”. Lo anterior, no será aplicable para la información contable consolidada</w:t>
      </w:r>
      <w:r w:rsidR="001973A2" w:rsidRPr="00A17DD1">
        <w:rPr>
          <w:rFonts w:ascii="Arial" w:hAnsi="Arial" w:cs="Arial"/>
          <w:sz w:val="20"/>
          <w:szCs w:val="20"/>
        </w:rPr>
        <w:t>.</w:t>
      </w:r>
    </w:p>
    <w:p w14:paraId="01EB8D18" w14:textId="44908EDC" w:rsidR="00372341" w:rsidRPr="00A17DD1" w:rsidRDefault="00372341" w:rsidP="00CB41C4">
      <w:pPr>
        <w:tabs>
          <w:tab w:val="left" w:leader="underscore" w:pos="9639"/>
        </w:tabs>
        <w:spacing w:after="0" w:line="240" w:lineRule="auto"/>
        <w:jc w:val="both"/>
        <w:rPr>
          <w:rFonts w:ascii="Arial" w:hAnsi="Arial" w:cs="Arial"/>
          <w:sz w:val="20"/>
          <w:szCs w:val="20"/>
        </w:rPr>
      </w:pPr>
    </w:p>
    <w:p w14:paraId="3BA941CD" w14:textId="77777777" w:rsidR="00372341" w:rsidRPr="00A17DD1" w:rsidRDefault="00372341" w:rsidP="00372341">
      <w:pPr>
        <w:spacing w:after="0" w:line="240" w:lineRule="auto"/>
        <w:jc w:val="both"/>
        <w:rPr>
          <w:rFonts w:ascii="Arial" w:hAnsi="Arial" w:cs="Arial"/>
          <w:sz w:val="20"/>
          <w:szCs w:val="20"/>
        </w:rPr>
      </w:pPr>
      <w:r w:rsidRPr="00A17DD1">
        <w:rPr>
          <w:rFonts w:ascii="Arial" w:hAnsi="Arial" w:cs="Arial"/>
          <w:i/>
          <w:iCs/>
          <w:sz w:val="20"/>
          <w:szCs w:val="20"/>
        </w:rPr>
        <w:t>“Bajo protesta de decir verdad declaramos que los Estados Financieros y sus notas, son razonablemente correctos y son responsabilidad del emisor</w:t>
      </w:r>
      <w:r w:rsidRPr="00A17DD1">
        <w:rPr>
          <w:rFonts w:ascii="Arial" w:hAnsi="Arial" w:cs="Arial"/>
          <w:sz w:val="20"/>
          <w:szCs w:val="20"/>
        </w:rPr>
        <w:t xml:space="preserve">”. </w:t>
      </w:r>
    </w:p>
    <w:p w14:paraId="674E2857" w14:textId="77777777" w:rsidR="00372341" w:rsidRPr="00A17DD1" w:rsidRDefault="00372341" w:rsidP="00372341">
      <w:pPr>
        <w:spacing w:after="0" w:line="240" w:lineRule="auto"/>
        <w:jc w:val="both"/>
        <w:rPr>
          <w:rFonts w:ascii="Arial" w:hAnsi="Arial" w:cs="Arial"/>
          <w:sz w:val="20"/>
          <w:szCs w:val="20"/>
        </w:rPr>
      </w:pPr>
    </w:p>
    <w:p w14:paraId="3C6E8DC3" w14:textId="77777777" w:rsidR="00372341" w:rsidRPr="00A17DD1" w:rsidRDefault="00372341" w:rsidP="00372341">
      <w:pPr>
        <w:spacing w:after="0" w:line="240" w:lineRule="auto"/>
        <w:jc w:val="both"/>
        <w:rPr>
          <w:rFonts w:ascii="Arial" w:hAnsi="Arial" w:cs="Arial"/>
          <w:sz w:val="20"/>
          <w:szCs w:val="20"/>
        </w:rPr>
      </w:pPr>
    </w:p>
    <w:p w14:paraId="78414ADA" w14:textId="77777777" w:rsidR="00372341" w:rsidRPr="00A17DD1" w:rsidRDefault="00372341" w:rsidP="00372341">
      <w:pPr>
        <w:spacing w:after="0" w:line="240" w:lineRule="auto"/>
        <w:jc w:val="both"/>
        <w:rPr>
          <w:rFonts w:ascii="Arial" w:hAnsi="Arial" w:cs="Arial"/>
          <w:sz w:val="20"/>
          <w:szCs w:val="20"/>
        </w:rPr>
      </w:pPr>
    </w:p>
    <w:p w14:paraId="7BE1854D" w14:textId="77777777" w:rsidR="00372341" w:rsidRPr="00A17DD1" w:rsidRDefault="00372341" w:rsidP="00372341">
      <w:pPr>
        <w:spacing w:after="0" w:line="240" w:lineRule="auto"/>
        <w:jc w:val="both"/>
        <w:rPr>
          <w:rFonts w:ascii="Arial" w:hAnsi="Arial" w:cs="Arial"/>
          <w:sz w:val="20"/>
          <w:szCs w:val="20"/>
        </w:rPr>
      </w:pPr>
    </w:p>
    <w:p w14:paraId="15C3E1C6" w14:textId="77777777" w:rsidR="00372341" w:rsidRPr="00A17DD1" w:rsidRDefault="00372341" w:rsidP="00372341">
      <w:pPr>
        <w:spacing w:after="0" w:line="240" w:lineRule="auto"/>
        <w:jc w:val="both"/>
        <w:rPr>
          <w:rFonts w:ascii="Arial" w:eastAsia="Times New Roman" w:hAnsi="Arial" w:cs="Arial"/>
          <w:i/>
          <w:iCs/>
          <w:color w:val="000000"/>
          <w:sz w:val="20"/>
          <w:szCs w:val="20"/>
          <w:lang w:eastAsia="es-MX"/>
        </w:rPr>
      </w:pPr>
    </w:p>
    <w:p w14:paraId="16B913B7" w14:textId="77777777" w:rsidR="00372341" w:rsidRPr="00A17DD1" w:rsidRDefault="00372341" w:rsidP="00372341">
      <w:pPr>
        <w:spacing w:after="0" w:line="240" w:lineRule="auto"/>
        <w:jc w:val="both"/>
        <w:rPr>
          <w:rFonts w:ascii="Arial" w:hAnsi="Arial" w:cs="Arial"/>
          <w:sz w:val="20"/>
          <w:szCs w:val="20"/>
        </w:rPr>
      </w:pPr>
    </w:p>
    <w:p w14:paraId="55362274" w14:textId="77777777" w:rsidR="00372341" w:rsidRPr="00A17DD1" w:rsidRDefault="00372341" w:rsidP="00372341">
      <w:pPr>
        <w:spacing w:after="0" w:line="240" w:lineRule="auto"/>
        <w:jc w:val="both"/>
        <w:rPr>
          <w:rFonts w:ascii="Arial" w:hAnsi="Arial" w:cs="Arial"/>
          <w:sz w:val="20"/>
          <w:szCs w:val="20"/>
        </w:rPr>
      </w:pPr>
    </w:p>
    <w:p w14:paraId="18D4A737" w14:textId="77777777" w:rsidR="00372341" w:rsidRPr="00A17DD1" w:rsidRDefault="00372341" w:rsidP="00372341">
      <w:pPr>
        <w:spacing w:after="0" w:line="240" w:lineRule="auto"/>
        <w:jc w:val="both"/>
        <w:rPr>
          <w:rFonts w:ascii="Arial" w:hAnsi="Arial" w:cs="Arial"/>
          <w:sz w:val="20"/>
          <w:szCs w:val="20"/>
        </w:rPr>
      </w:pPr>
    </w:p>
    <w:p w14:paraId="311FB21D" w14:textId="77777777" w:rsidR="00372341" w:rsidRPr="00A17DD1" w:rsidRDefault="00372341" w:rsidP="00372341">
      <w:pPr>
        <w:spacing w:after="0" w:line="240" w:lineRule="auto"/>
        <w:jc w:val="both"/>
        <w:rPr>
          <w:rFonts w:ascii="Arial" w:hAnsi="Arial" w:cs="Arial"/>
          <w:sz w:val="20"/>
          <w:szCs w:val="20"/>
        </w:rPr>
      </w:pPr>
    </w:p>
    <w:p w14:paraId="2800C0CD" w14:textId="77777777" w:rsidR="00372341" w:rsidRPr="00A17DD1" w:rsidRDefault="00372341" w:rsidP="00372341">
      <w:pPr>
        <w:spacing w:after="0" w:line="240" w:lineRule="auto"/>
        <w:jc w:val="both"/>
        <w:rPr>
          <w:rFonts w:ascii="Arial" w:hAnsi="Arial" w:cs="Arial"/>
          <w:sz w:val="20"/>
          <w:szCs w:val="20"/>
        </w:rPr>
      </w:pPr>
    </w:p>
    <w:p w14:paraId="3FF15024" w14:textId="77777777" w:rsidR="00372341" w:rsidRPr="00A17DD1" w:rsidRDefault="00372341" w:rsidP="00372341">
      <w:pPr>
        <w:spacing w:after="0" w:line="240" w:lineRule="auto"/>
        <w:jc w:val="both"/>
        <w:rPr>
          <w:rFonts w:ascii="Arial" w:hAnsi="Arial" w:cs="Arial"/>
          <w:sz w:val="20"/>
          <w:szCs w:val="20"/>
        </w:rPr>
      </w:pPr>
    </w:p>
    <w:p w14:paraId="2F9C6A82" w14:textId="09A8B62E" w:rsidR="00372341" w:rsidRPr="00A17DD1" w:rsidRDefault="00372341" w:rsidP="00372341">
      <w:pPr>
        <w:spacing w:after="0" w:line="240" w:lineRule="auto"/>
        <w:jc w:val="both"/>
        <w:rPr>
          <w:rFonts w:ascii="Arial" w:hAnsi="Arial" w:cs="Arial"/>
          <w:sz w:val="20"/>
          <w:szCs w:val="20"/>
        </w:rPr>
      </w:pPr>
      <w:r w:rsidRPr="00A17DD1">
        <w:rPr>
          <w:rFonts w:ascii="Arial" w:hAnsi="Arial" w:cs="Arial"/>
          <w:noProof/>
          <w:sz w:val="20"/>
          <w:szCs w:val="20"/>
          <w:lang w:eastAsia="es-MX"/>
        </w:rPr>
        <mc:AlternateContent>
          <mc:Choice Requires="wps">
            <w:drawing>
              <wp:anchor distT="0" distB="0" distL="114300" distR="114300" simplePos="0" relativeHeight="251659264" behindDoc="0" locked="0" layoutInCell="1" allowOverlap="1" wp14:anchorId="0F43EB5F" wp14:editId="02B3D159">
                <wp:simplePos x="0" y="0"/>
                <wp:positionH relativeFrom="column">
                  <wp:posOffset>320620</wp:posOffset>
                </wp:positionH>
                <wp:positionV relativeFrom="paragraph">
                  <wp:posOffset>127304</wp:posOffset>
                </wp:positionV>
                <wp:extent cx="1790065" cy="0"/>
                <wp:effectExtent l="13335" t="5715" r="6350" b="1333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28DF26" id="_x0000_t32" coordsize="21600,21600" o:spt="32" o:oned="t" path="m,l21600,21600e" filled="f">
                <v:path arrowok="t" fillok="f" o:connecttype="none"/>
                <o:lock v:ext="edit" shapetype="t"/>
              </v:shapetype>
              <v:shape id="Conector recto de flecha 9" o:spid="_x0000_s1026" type="#_x0000_t32" style="position:absolute;margin-left:25.25pt;margin-top:10pt;width:140.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"/>
            </w:pict>
          </mc:Fallback>
        </mc:AlternateContent>
      </w:r>
      <w:r w:rsidRPr="00A17DD1">
        <w:rPr>
          <w:rFonts w:ascii="Arial" w:hAnsi="Arial" w:cs="Arial"/>
          <w:noProof/>
          <w:sz w:val="20"/>
          <w:szCs w:val="20"/>
          <w:lang w:eastAsia="es-MX"/>
        </w:rPr>
        <mc:AlternateContent>
          <mc:Choice Requires="wps">
            <w:drawing>
              <wp:anchor distT="0" distB="0" distL="114300" distR="114300" simplePos="0" relativeHeight="251660288" behindDoc="0" locked="0" layoutInCell="1" allowOverlap="1" wp14:anchorId="752E60C9" wp14:editId="53FA90D1">
                <wp:simplePos x="0" y="0"/>
                <wp:positionH relativeFrom="column">
                  <wp:posOffset>3663039</wp:posOffset>
                </wp:positionH>
                <wp:positionV relativeFrom="paragraph">
                  <wp:posOffset>136857</wp:posOffset>
                </wp:positionV>
                <wp:extent cx="2188845" cy="0"/>
                <wp:effectExtent l="13970" t="8890" r="6985" b="1016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680AB3" id="Conector recto de flecha 10" o:spid="_x0000_s1026" type="#_x0000_t32" style="position:absolute;margin-left:288.45pt;margin-top:10.8pt;width:172.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"/>
            </w:pict>
          </mc:Fallback>
        </mc:AlternateContent>
      </w:r>
      <w:bookmarkStart w:id="17" w:name="_Hlk69283371"/>
    </w:p>
    <w:p w14:paraId="2FC93EDC" w14:textId="48A42F27"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 xml:space="preserve">               Ing. Eusebio Vega Pérez                                                               Lic. Félix Valencia Rocha</w:t>
      </w:r>
    </w:p>
    <w:p w14:paraId="567D4148" w14:textId="0D808485" w:rsidR="00372341" w:rsidRPr="00A17DD1" w:rsidRDefault="00372341" w:rsidP="00372341">
      <w:pPr>
        <w:spacing w:after="0" w:line="240" w:lineRule="auto"/>
        <w:jc w:val="both"/>
        <w:rPr>
          <w:rFonts w:ascii="Arial" w:hAnsi="Arial" w:cs="Arial"/>
          <w:sz w:val="20"/>
          <w:szCs w:val="20"/>
        </w:rPr>
      </w:pPr>
      <w:r w:rsidRPr="00A17DD1">
        <w:rPr>
          <w:rFonts w:ascii="Arial" w:hAnsi="Arial" w:cs="Arial"/>
          <w:sz w:val="20"/>
          <w:szCs w:val="20"/>
        </w:rPr>
        <w:t xml:space="preserve">                      Director General                                                       </w:t>
      </w:r>
      <w:proofErr w:type="gramStart"/>
      <w:r w:rsidRPr="00A17DD1">
        <w:rPr>
          <w:rFonts w:ascii="Arial" w:hAnsi="Arial" w:cs="Arial"/>
          <w:sz w:val="20"/>
          <w:szCs w:val="20"/>
        </w:rPr>
        <w:t>Subdirector</w:t>
      </w:r>
      <w:proofErr w:type="gramEnd"/>
      <w:r w:rsidRPr="00A17DD1">
        <w:rPr>
          <w:rFonts w:ascii="Arial" w:hAnsi="Arial" w:cs="Arial"/>
          <w:sz w:val="20"/>
          <w:szCs w:val="20"/>
        </w:rPr>
        <w:t xml:space="preserve"> de Administración y Finanzas</w:t>
      </w:r>
    </w:p>
    <w:bookmarkEnd w:id="17"/>
    <w:p w14:paraId="1E3E4C50" w14:textId="77777777" w:rsidR="00372341" w:rsidRPr="00A17DD1" w:rsidRDefault="00372341" w:rsidP="00372341">
      <w:pPr>
        <w:spacing w:after="0" w:line="240" w:lineRule="auto"/>
        <w:jc w:val="both"/>
        <w:rPr>
          <w:rFonts w:ascii="Arial" w:hAnsi="Arial" w:cs="Arial"/>
          <w:sz w:val="20"/>
          <w:szCs w:val="20"/>
        </w:rPr>
      </w:pPr>
    </w:p>
    <w:p w14:paraId="78C57027" w14:textId="77777777" w:rsidR="00372341" w:rsidRPr="00A17DD1" w:rsidRDefault="00372341" w:rsidP="00CB41C4">
      <w:pPr>
        <w:tabs>
          <w:tab w:val="left" w:leader="underscore" w:pos="9639"/>
        </w:tabs>
        <w:spacing w:after="0" w:line="240" w:lineRule="auto"/>
        <w:jc w:val="both"/>
        <w:rPr>
          <w:rFonts w:ascii="Arial" w:hAnsi="Arial" w:cs="Arial"/>
          <w:sz w:val="20"/>
          <w:szCs w:val="20"/>
        </w:rPr>
      </w:pPr>
    </w:p>
    <w:sectPr w:rsidR="00372341" w:rsidRPr="00A17DD1" w:rsidSect="0012405A">
      <w:headerReference w:type="default" r:id="rId16"/>
      <w:footerReference w:type="default" r:id="rId17"/>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B7427" w14:textId="77777777" w:rsidR="009F3231" w:rsidRDefault="009F3231" w:rsidP="00E00323">
      <w:pPr>
        <w:spacing w:after="0" w:line="240" w:lineRule="auto"/>
      </w:pPr>
      <w:r>
        <w:separator/>
      </w:r>
    </w:p>
  </w:endnote>
  <w:endnote w:type="continuationSeparator" w:id="0">
    <w:p w14:paraId="1469835E" w14:textId="77777777" w:rsidR="009F3231" w:rsidRDefault="009F3231"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267310"/>
      <w:docPartObj>
        <w:docPartGallery w:val="Page Numbers (Bottom of Page)"/>
        <w:docPartUnique/>
      </w:docPartObj>
    </w:sdtPr>
    <w:sdtEndPr/>
    <w:sdtContent>
      <w:p w14:paraId="45A1378E" w14:textId="3208FEF5" w:rsidR="0012405A" w:rsidRDefault="0012405A">
        <w:pPr>
          <w:pStyle w:val="Piedepgina"/>
          <w:jc w:val="right"/>
        </w:pPr>
        <w:r>
          <w:fldChar w:fldCharType="begin"/>
        </w:r>
        <w:r>
          <w:instrText>PAGE   \* MERGEFORMAT</w:instrText>
        </w:r>
        <w:r>
          <w:fldChar w:fldCharType="separate"/>
        </w:r>
        <w:r w:rsidR="00A730E0" w:rsidRPr="00A730E0">
          <w:rPr>
            <w:noProof/>
            <w:lang w:val="es-ES"/>
          </w:rPr>
          <w:t>1</w:t>
        </w:r>
        <w:r>
          <w:fldChar w:fldCharType="end"/>
        </w:r>
      </w:p>
    </w:sdtContent>
  </w:sdt>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0ED79" w14:textId="77777777" w:rsidR="009F3231" w:rsidRDefault="009F3231" w:rsidP="00E00323">
      <w:pPr>
        <w:spacing w:after="0" w:line="240" w:lineRule="auto"/>
      </w:pPr>
      <w:r>
        <w:separator/>
      </w:r>
    </w:p>
  </w:footnote>
  <w:footnote w:type="continuationSeparator" w:id="0">
    <w:p w14:paraId="20B41BD4" w14:textId="77777777" w:rsidR="009F3231" w:rsidRDefault="009F3231"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548F" w14:textId="6B7DBC31" w:rsidR="00154BA3" w:rsidRDefault="00A94604" w:rsidP="00A4610E">
    <w:pPr>
      <w:pStyle w:val="Encabezado"/>
      <w:spacing w:after="0" w:line="240" w:lineRule="auto"/>
      <w:jc w:val="center"/>
    </w:pPr>
    <w:r>
      <w:t>Instituto Tecnológico Superior de Guanajuato</w:t>
    </w:r>
  </w:p>
  <w:p w14:paraId="651A4C4F" w14:textId="65DDDAEE" w:rsidR="00A4610E" w:rsidRDefault="008C6383" w:rsidP="00A4610E">
    <w:pPr>
      <w:pStyle w:val="Encabezado"/>
      <w:spacing w:after="0" w:line="240" w:lineRule="auto"/>
      <w:jc w:val="center"/>
    </w:pPr>
    <w:r w:rsidRPr="00A4610E">
      <w:t>C</w:t>
    </w:r>
    <w:r>
      <w:t>orrespondientes al 30 de junio de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A7337"/>
    <w:multiLevelType w:val="hybridMultilevel"/>
    <w:tmpl w:val="00E80F60"/>
    <w:lvl w:ilvl="0" w:tplc="59547F82">
      <w:start w:val="1"/>
      <w:numFmt w:val="upperRoman"/>
      <w:lvlText w:val="%1.-"/>
      <w:lvlJc w:val="right"/>
      <w:pPr>
        <w:tabs>
          <w:tab w:val="num" w:pos="880"/>
        </w:tabs>
        <w:ind w:left="880" w:hanging="180"/>
      </w:pPr>
      <w:rPr>
        <w:rFonts w:hint="default"/>
        <w:b/>
        <w:i w:val="0"/>
      </w:rPr>
    </w:lvl>
    <w:lvl w:ilvl="1" w:tplc="41F84BB4">
      <w:start w:val="1"/>
      <w:numFmt w:val="lowerLetter"/>
      <w:lvlText w:val="%2)"/>
      <w:lvlJc w:val="left"/>
      <w:pPr>
        <w:tabs>
          <w:tab w:val="num" w:pos="1800"/>
        </w:tabs>
        <w:ind w:left="1800" w:hanging="360"/>
      </w:pPr>
      <w:rPr>
        <w:rFonts w:cs="Times New Roman" w:hint="default"/>
        <w:b/>
        <w:i w:val="0"/>
      </w:rPr>
    </w:lvl>
    <w:lvl w:ilvl="2" w:tplc="0C0A0001">
      <w:start w:val="1"/>
      <w:numFmt w:val="bullet"/>
      <w:lvlText w:val=""/>
      <w:lvlJc w:val="left"/>
      <w:pPr>
        <w:tabs>
          <w:tab w:val="num" w:pos="2700"/>
        </w:tabs>
        <w:ind w:left="2700" w:hanging="360"/>
      </w:pPr>
      <w:rPr>
        <w:rFonts w:ascii="Symbol" w:hAnsi="Symbol" w:hint="default"/>
        <w:b/>
        <w:i w:val="0"/>
      </w:rPr>
    </w:lvl>
    <w:lvl w:ilvl="3" w:tplc="427C0936">
      <w:start w:val="1"/>
      <w:numFmt w:val="decimal"/>
      <w:lvlText w:val="%4."/>
      <w:lvlJc w:val="left"/>
      <w:pPr>
        <w:ind w:left="3240" w:hanging="360"/>
      </w:pPr>
      <w:rPr>
        <w:rFonts w:hint="default"/>
      </w:r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15:restartNumberingAfterBreak="0">
    <w:nsid w:val="42957E87"/>
    <w:multiLevelType w:val="hybridMultilevel"/>
    <w:tmpl w:val="AA70F8A8"/>
    <w:lvl w:ilvl="0" w:tplc="C2885EFA">
      <w:start w:val="1"/>
      <w:numFmt w:val="upperRoman"/>
      <w:lvlText w:val="%1."/>
      <w:lvlJc w:val="left"/>
      <w:pPr>
        <w:tabs>
          <w:tab w:val="num" w:pos="1080"/>
        </w:tabs>
        <w:ind w:left="1080" w:hanging="72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310EF"/>
    <w:rsid w:val="00040D4F"/>
    <w:rsid w:val="00084EAE"/>
    <w:rsid w:val="00091CE6"/>
    <w:rsid w:val="000B7810"/>
    <w:rsid w:val="000C3365"/>
    <w:rsid w:val="000D5EFC"/>
    <w:rsid w:val="00106EE9"/>
    <w:rsid w:val="0012405A"/>
    <w:rsid w:val="0012493A"/>
    <w:rsid w:val="00154BA3"/>
    <w:rsid w:val="001973A2"/>
    <w:rsid w:val="001C34BC"/>
    <w:rsid w:val="001C710C"/>
    <w:rsid w:val="001C75F2"/>
    <w:rsid w:val="001D2063"/>
    <w:rsid w:val="001D43E9"/>
    <w:rsid w:val="00231FBE"/>
    <w:rsid w:val="00232175"/>
    <w:rsid w:val="0024740E"/>
    <w:rsid w:val="002722DD"/>
    <w:rsid w:val="00295B72"/>
    <w:rsid w:val="003453CA"/>
    <w:rsid w:val="00372341"/>
    <w:rsid w:val="00396D53"/>
    <w:rsid w:val="003E6C64"/>
    <w:rsid w:val="003F37B2"/>
    <w:rsid w:val="0043078C"/>
    <w:rsid w:val="00435A87"/>
    <w:rsid w:val="004A1077"/>
    <w:rsid w:val="004A58C8"/>
    <w:rsid w:val="004F234D"/>
    <w:rsid w:val="004F6FAC"/>
    <w:rsid w:val="005053EE"/>
    <w:rsid w:val="00516100"/>
    <w:rsid w:val="00516A8F"/>
    <w:rsid w:val="00540261"/>
    <w:rsid w:val="0054701E"/>
    <w:rsid w:val="00577558"/>
    <w:rsid w:val="005B5531"/>
    <w:rsid w:val="005D3E43"/>
    <w:rsid w:val="005E231E"/>
    <w:rsid w:val="005F2900"/>
    <w:rsid w:val="005F51CC"/>
    <w:rsid w:val="00604A31"/>
    <w:rsid w:val="0061730A"/>
    <w:rsid w:val="0064059E"/>
    <w:rsid w:val="00657009"/>
    <w:rsid w:val="00681C79"/>
    <w:rsid w:val="006B1ADF"/>
    <w:rsid w:val="006F0687"/>
    <w:rsid w:val="006F77A8"/>
    <w:rsid w:val="007610BC"/>
    <w:rsid w:val="007714AB"/>
    <w:rsid w:val="007D1E76"/>
    <w:rsid w:val="007D4484"/>
    <w:rsid w:val="007E38A2"/>
    <w:rsid w:val="007F699D"/>
    <w:rsid w:val="00806269"/>
    <w:rsid w:val="0086420E"/>
    <w:rsid w:val="0086459F"/>
    <w:rsid w:val="008A55A5"/>
    <w:rsid w:val="008C3BB8"/>
    <w:rsid w:val="008C6383"/>
    <w:rsid w:val="008E076C"/>
    <w:rsid w:val="0092765C"/>
    <w:rsid w:val="00967DDA"/>
    <w:rsid w:val="009736CB"/>
    <w:rsid w:val="009F3231"/>
    <w:rsid w:val="00A17DD1"/>
    <w:rsid w:val="00A201C3"/>
    <w:rsid w:val="00A4610E"/>
    <w:rsid w:val="00A6346D"/>
    <w:rsid w:val="00A730E0"/>
    <w:rsid w:val="00A94604"/>
    <w:rsid w:val="00AA2768"/>
    <w:rsid w:val="00AA41E5"/>
    <w:rsid w:val="00AB722B"/>
    <w:rsid w:val="00AE1F6A"/>
    <w:rsid w:val="00AF4375"/>
    <w:rsid w:val="00B073DE"/>
    <w:rsid w:val="00B6368B"/>
    <w:rsid w:val="00BA53FE"/>
    <w:rsid w:val="00BE02EB"/>
    <w:rsid w:val="00C4250B"/>
    <w:rsid w:val="00C4625D"/>
    <w:rsid w:val="00C54C12"/>
    <w:rsid w:val="00C93C67"/>
    <w:rsid w:val="00C97E1E"/>
    <w:rsid w:val="00CB28D8"/>
    <w:rsid w:val="00CB41C4"/>
    <w:rsid w:val="00CF1316"/>
    <w:rsid w:val="00D13C44"/>
    <w:rsid w:val="00D32331"/>
    <w:rsid w:val="00D40FC2"/>
    <w:rsid w:val="00D5018E"/>
    <w:rsid w:val="00D546B2"/>
    <w:rsid w:val="00D975B1"/>
    <w:rsid w:val="00DA571C"/>
    <w:rsid w:val="00DD018C"/>
    <w:rsid w:val="00E00323"/>
    <w:rsid w:val="00E11758"/>
    <w:rsid w:val="00E2659F"/>
    <w:rsid w:val="00E349D3"/>
    <w:rsid w:val="00E74967"/>
    <w:rsid w:val="00E7559F"/>
    <w:rsid w:val="00E85520"/>
    <w:rsid w:val="00E9132F"/>
    <w:rsid w:val="00EA37F5"/>
    <w:rsid w:val="00EA7915"/>
    <w:rsid w:val="00ED7AA0"/>
    <w:rsid w:val="00F067C8"/>
    <w:rsid w:val="00F43AC5"/>
    <w:rsid w:val="00F46719"/>
    <w:rsid w:val="00F54F6F"/>
    <w:rsid w:val="00F6102D"/>
    <w:rsid w:val="00F65A92"/>
    <w:rsid w:val="00F6759B"/>
    <w:rsid w:val="00FC1AE8"/>
    <w:rsid w:val="00FD16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Textoindependiente">
    <w:name w:val="Body Text"/>
    <w:basedOn w:val="Normal"/>
    <w:link w:val="TextoindependienteCar"/>
    <w:rsid w:val="00A94604"/>
    <w:pPr>
      <w:tabs>
        <w:tab w:val="left" w:pos="2160"/>
        <w:tab w:val="left" w:pos="2880"/>
        <w:tab w:val="left" w:pos="3600"/>
        <w:tab w:val="left" w:pos="4320"/>
        <w:tab w:val="left" w:pos="5040"/>
        <w:tab w:val="left" w:pos="5760"/>
        <w:tab w:val="left" w:pos="6480"/>
        <w:tab w:val="left" w:pos="7200"/>
      </w:tabs>
      <w:spacing w:after="0" w:line="240" w:lineRule="auto"/>
      <w:jc w:val="both"/>
    </w:pPr>
    <w:rPr>
      <w:rFonts w:ascii="Arial" w:eastAsia="Times New Roman" w:hAnsi="Arial"/>
      <w:color w:val="0000FF"/>
      <w:szCs w:val="20"/>
      <w:lang w:val="es-ES_tradnl" w:eastAsia="es-ES"/>
    </w:rPr>
  </w:style>
  <w:style w:type="character" w:customStyle="1" w:styleId="TextoindependienteCar">
    <w:name w:val="Texto independiente Car"/>
    <w:basedOn w:val="Fuentedeprrafopredeter"/>
    <w:link w:val="Textoindependiente"/>
    <w:rsid w:val="00A94604"/>
    <w:rPr>
      <w:rFonts w:ascii="Arial" w:eastAsia="Times New Roman" w:hAnsi="Arial"/>
      <w:color w:val="0000FF"/>
      <w:sz w:val="22"/>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8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x00bf_Formatomodificado_x003f_ xmlns="0c865bf4-0f22-4e4d-b041-7b0c1657e5a8">true</_x00bf_Formatomodificado_x003f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4D3CCCD0CFC8E48A23B0770796809E1" ma:contentTypeVersion="11" ma:contentTypeDescription="Crear nuevo documento." ma:contentTypeScope="" ma:versionID="bf3a443534d628b30ad7b72686e46350">
  <xsd:schema xmlns:xsd="http://www.w3.org/2001/XMLSchema" xmlns:xs="http://www.w3.org/2001/XMLSchema" xmlns:p="http://schemas.microsoft.com/office/2006/metadata/properties" xmlns:ns2="0c865bf4-0f22-4e4d-b041-7b0c1657e5a8" xmlns:ns3="6aa8a68a-ab09-4ac8-a697-fdce915bc567" targetNamespace="http://schemas.microsoft.com/office/2006/metadata/properties" ma:root="true" ma:fieldsID="cb5505446f330f50c51622ed5cc53a4b" ns2:_="" ns3:_="">
    <xsd:import namespace="0c865bf4-0f22-4e4d-b041-7b0c1657e5a8"/>
    <xsd:import namespace="6aa8a68a-ab09-4ac8-a697-fdce915bc5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LengthInSeconds" minOccurs="0"/>
                <xsd:element ref="ns2:MediaServiceDateTaken" minOccurs="0"/>
                <xsd:element ref="ns2:MediaServiceObjectDetectorVersions" minOccurs="0"/>
                <xsd:element ref="ns2:MediaServiceGenerationTime" minOccurs="0"/>
                <xsd:element ref="ns2:MediaServiceEventHashCode" minOccurs="0"/>
                <xsd:element ref="ns3:SharedWithUsers" minOccurs="0"/>
                <xsd:element ref="ns3:SharedWithDetails" minOccurs="0"/>
                <xsd:element ref="ns2:_x00bf_Formatomodificado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865bf4-0f22-4e4d-b041-7b0c1657e5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x00bf_Formatomodificado_x003f_" ma:index="18" nillable="true" ma:displayName="¿Formato modificado?" ma:default="1" ma:format="Dropdown" ma:internalName="_x00bf_Formatomodificado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aa8a68a-ab09-4ac8-a697-fdce915bc567"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D9A76F-91F0-43D2-8081-B4DC470C2F6F}">
  <ds:schemaRefs>
    <ds:schemaRef ds:uri="http://schemas.openxmlformats.org/officeDocument/2006/bibliography"/>
  </ds:schemaRefs>
</ds:datastoreItem>
</file>

<file path=customXml/itemProps2.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 ds:uri="0c865bf4-0f22-4e4d-b041-7b0c1657e5a8"/>
  </ds:schemaRefs>
</ds:datastoreItem>
</file>

<file path=customXml/itemProps3.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4.xml><?xml version="1.0" encoding="utf-8"?>
<ds:datastoreItem xmlns:ds="http://schemas.openxmlformats.org/officeDocument/2006/customXml" ds:itemID="{555B9485-7FE9-43F0-809A-30EC26A19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865bf4-0f22-4e4d-b041-7b0c1657e5a8"/>
    <ds:schemaRef ds:uri="6aa8a68a-ab09-4ac8-a697-fdce915bc5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3479</Words>
  <Characters>19138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22572</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clara vanesa</cp:lastModifiedBy>
  <cp:revision>79</cp:revision>
  <cp:lastPrinted>2024-04-22T21:37:00Z</cp:lastPrinted>
  <dcterms:created xsi:type="dcterms:W3CDTF">2017-01-12T05:27:00Z</dcterms:created>
  <dcterms:modified xsi:type="dcterms:W3CDTF">2024-07-05T21:06:00Z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0x010100F4D3CCCD0CFC8E48A23B0770796809E1</vt:lpwstr>
  </property>
</Properties>
</file>