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F744" w14:textId="77777777" w:rsidR="00D3577C" w:rsidRDefault="00000000">
      <w:pPr>
        <w:spacing w:after="403" w:line="259" w:lineRule="auto"/>
        <w:ind w:left="0" w:firstLine="0"/>
      </w:pPr>
      <w:r>
        <w:rPr>
          <w:sz w:val="28"/>
        </w:rPr>
        <w:t>Veeam 365 Backups Setup</w:t>
      </w:r>
    </w:p>
    <w:p w14:paraId="61B6C946" w14:textId="77777777" w:rsidR="00D3577C" w:rsidRDefault="00000000">
      <w:pPr>
        <w:pStyle w:val="Heading1"/>
        <w:ind w:left="-5"/>
      </w:pPr>
      <w:r>
        <w:t>Azure Repository Setup</w:t>
      </w:r>
    </w:p>
    <w:p w14:paraId="3C545D51" w14:textId="77777777" w:rsidR="00D3577C" w:rsidRDefault="00000000">
      <w:pPr>
        <w:numPr>
          <w:ilvl w:val="0"/>
          <w:numId w:val="1"/>
        </w:numPr>
        <w:spacing w:after="134"/>
        <w:ind w:hanging="307"/>
      </w:pPr>
      <w:r>
        <w:t>Go into our Azure Portal</w:t>
      </w:r>
    </w:p>
    <w:p w14:paraId="0B8CD2EE" w14:textId="738B0698" w:rsidR="00D3577C" w:rsidRDefault="00000000">
      <w:pPr>
        <w:numPr>
          <w:ilvl w:val="0"/>
          <w:numId w:val="1"/>
        </w:numPr>
        <w:spacing w:after="134"/>
        <w:ind w:hanging="307"/>
      </w:pPr>
      <w:r>
        <w:t xml:space="preserve">Open the </w:t>
      </w:r>
      <w:r w:rsidR="00C55FE0">
        <w:t>Veeam 365</w:t>
      </w:r>
      <w:r>
        <w:t xml:space="preserve"> storage Account</w:t>
      </w:r>
    </w:p>
    <w:p w14:paraId="3484BA85" w14:textId="4A4E3AAC" w:rsidR="00D3577C" w:rsidRDefault="00000000">
      <w:pPr>
        <w:numPr>
          <w:ilvl w:val="0"/>
          <w:numId w:val="1"/>
        </w:numPr>
        <w:spacing w:after="496"/>
        <w:ind w:hanging="307"/>
      </w:pPr>
      <w:r>
        <w:t>Create a new container labeled: [</w:t>
      </w:r>
      <w:r w:rsidR="00C55FE0">
        <w:t>Defining</w:t>
      </w:r>
      <w:r>
        <w:t xml:space="preserve"> Acronym]365backups</w:t>
      </w:r>
    </w:p>
    <w:p w14:paraId="62F453C9" w14:textId="77777777" w:rsidR="00D3577C" w:rsidRDefault="00000000">
      <w:pPr>
        <w:pStyle w:val="Heading1"/>
        <w:ind w:left="-5"/>
      </w:pPr>
      <w:r>
        <w:t>Object Storage Repository Setup</w:t>
      </w:r>
    </w:p>
    <w:p w14:paraId="523F2D32" w14:textId="34EFC902" w:rsidR="00D3577C" w:rsidRDefault="00000000">
      <w:pPr>
        <w:numPr>
          <w:ilvl w:val="0"/>
          <w:numId w:val="2"/>
        </w:numPr>
        <w:spacing w:after="134"/>
        <w:ind w:right="3357" w:hanging="307"/>
      </w:pPr>
      <w:r>
        <w:t xml:space="preserve">Open Veeam on </w:t>
      </w:r>
      <w:r w:rsidR="00C55FE0">
        <w:t xml:space="preserve">your </w:t>
      </w:r>
      <w:proofErr w:type="gramStart"/>
      <w:r w:rsidR="00C55FE0">
        <w:t>365 backup</w:t>
      </w:r>
      <w:proofErr w:type="gramEnd"/>
      <w:r w:rsidR="00C55FE0">
        <w:t xml:space="preserve"> server</w:t>
      </w:r>
    </w:p>
    <w:p w14:paraId="19270E23" w14:textId="77777777" w:rsidR="00C55FE0" w:rsidRDefault="00000000">
      <w:pPr>
        <w:numPr>
          <w:ilvl w:val="0"/>
          <w:numId w:val="2"/>
        </w:numPr>
        <w:spacing w:after="0" w:line="390" w:lineRule="auto"/>
        <w:ind w:right="3357" w:hanging="307"/>
      </w:pPr>
      <w:r>
        <w:t>Go to Backup Infrastructure</w:t>
      </w:r>
    </w:p>
    <w:p w14:paraId="5CB5B593" w14:textId="3F14B9C2" w:rsidR="00D3577C" w:rsidRDefault="00000000" w:rsidP="00C55FE0">
      <w:pPr>
        <w:spacing w:after="0" w:line="390" w:lineRule="auto"/>
        <w:ind w:left="0" w:right="3357" w:firstLine="0"/>
      </w:pPr>
      <w:r>
        <w:t xml:space="preserve"> 3. Go to Object Storage Repositories</w:t>
      </w:r>
    </w:p>
    <w:p w14:paraId="42039D25" w14:textId="77777777" w:rsidR="00D3577C" w:rsidRDefault="00000000">
      <w:pPr>
        <w:numPr>
          <w:ilvl w:val="0"/>
          <w:numId w:val="3"/>
        </w:numPr>
        <w:ind w:hanging="307"/>
      </w:pPr>
      <w:r>
        <w:t>Add one.</w:t>
      </w:r>
    </w:p>
    <w:p w14:paraId="1FB07EFE" w14:textId="77777777" w:rsidR="00D3577C" w:rsidRDefault="00000000">
      <w:pPr>
        <w:ind w:left="317"/>
      </w:pPr>
      <w:r>
        <w:t>Name it [Client Acronym] Blob.</w:t>
      </w:r>
    </w:p>
    <w:p w14:paraId="37D48906" w14:textId="5B6AF646" w:rsidR="00D3577C" w:rsidRDefault="00000000" w:rsidP="00C55FE0">
      <w:pPr>
        <w:spacing w:after="0"/>
        <w:ind w:left="317"/>
      </w:pPr>
      <w:r>
        <w:t>Adjust the description to have your name as the creator</w:t>
      </w:r>
    </w:p>
    <w:p w14:paraId="3176BA5D" w14:textId="77777777" w:rsidR="00C55FE0" w:rsidRDefault="00C55FE0" w:rsidP="00C55FE0">
      <w:pPr>
        <w:spacing w:after="0"/>
        <w:ind w:left="317"/>
      </w:pPr>
    </w:p>
    <w:p w14:paraId="6F998039" w14:textId="77777777" w:rsidR="00D3577C" w:rsidRDefault="00000000">
      <w:pPr>
        <w:numPr>
          <w:ilvl w:val="0"/>
          <w:numId w:val="3"/>
        </w:numPr>
        <w:spacing w:after="134"/>
        <w:ind w:hanging="307"/>
      </w:pPr>
      <w:r>
        <w:t xml:space="preserve">Do </w:t>
      </w:r>
      <w:proofErr w:type="spellStart"/>
      <w:r>
        <w:t>microsoft</w:t>
      </w:r>
      <w:proofErr w:type="spellEnd"/>
      <w:r>
        <w:t xml:space="preserve"> Azure Blob storage on the next page</w:t>
      </w:r>
    </w:p>
    <w:p w14:paraId="6ED8EAC3" w14:textId="4E0ED67D" w:rsidR="00D3577C" w:rsidRDefault="00C55FE0">
      <w:pPr>
        <w:numPr>
          <w:ilvl w:val="0"/>
          <w:numId w:val="3"/>
        </w:numPr>
        <w:spacing w:after="134"/>
        <w:ind w:hanging="307"/>
      </w:pPr>
      <w:r>
        <w:t>Setup</w:t>
      </w:r>
      <w:r w:rsidR="00000000">
        <w:t xml:space="preserve"> the account credentials, leave the region to Global</w:t>
      </w:r>
    </w:p>
    <w:p w14:paraId="0B4F0713" w14:textId="77777777" w:rsidR="00C55FE0" w:rsidRDefault="00000000">
      <w:pPr>
        <w:numPr>
          <w:ilvl w:val="0"/>
          <w:numId w:val="3"/>
        </w:numPr>
        <w:ind w:hanging="307"/>
      </w:pPr>
      <w:r>
        <w:t xml:space="preserve">Set the container to the blob for that </w:t>
      </w:r>
      <w:proofErr w:type="gramStart"/>
      <w:r>
        <w:t>client in particular</w:t>
      </w:r>
      <w:proofErr w:type="gramEnd"/>
      <w:r>
        <w:t>.</w:t>
      </w:r>
    </w:p>
    <w:p w14:paraId="12B335F3" w14:textId="2A4745D7" w:rsidR="00D3577C" w:rsidRDefault="00000000">
      <w:pPr>
        <w:numPr>
          <w:ilvl w:val="0"/>
          <w:numId w:val="3"/>
        </w:numPr>
        <w:ind w:hanging="307"/>
      </w:pPr>
      <w:r>
        <w:t xml:space="preserve"> Browse and create a folder called </w:t>
      </w:r>
      <w:proofErr w:type="spellStart"/>
      <w:r>
        <w:t>veeam</w:t>
      </w:r>
      <w:proofErr w:type="spellEnd"/>
      <w:r>
        <w:t>.</w:t>
      </w:r>
    </w:p>
    <w:p w14:paraId="50A8C6D1" w14:textId="77777777" w:rsidR="00D3577C" w:rsidRDefault="00000000">
      <w:pPr>
        <w:spacing w:after="475"/>
        <w:ind w:left="317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C7FCA6" wp14:editId="1C342C72">
                <wp:simplePos x="0" y="0"/>
                <wp:positionH relativeFrom="page">
                  <wp:posOffset>505968</wp:posOffset>
                </wp:positionH>
                <wp:positionV relativeFrom="page">
                  <wp:posOffset>10119358</wp:posOffset>
                </wp:positionV>
                <wp:extent cx="6534911" cy="9754"/>
                <wp:effectExtent l="0" t="0" r="0" b="0"/>
                <wp:wrapTopAndBottom/>
                <wp:docPr id="712" name="Group 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911" cy="9754"/>
                          <a:chOff x="0" y="0"/>
                          <a:chExt cx="6534911" cy="9754"/>
                        </a:xfrm>
                      </wpg:grpSpPr>
                      <wps:wsp>
                        <wps:cNvPr id="1006" name="Shape 1006"/>
                        <wps:cNvSpPr/>
                        <wps:spPr>
                          <a:xfrm>
                            <a:off x="0" y="0"/>
                            <a:ext cx="6534911" cy="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911" h="9754">
                                <a:moveTo>
                                  <a:pt x="0" y="0"/>
                                </a:moveTo>
                                <a:lnTo>
                                  <a:pt x="6534911" y="0"/>
                                </a:lnTo>
                                <a:lnTo>
                                  <a:pt x="6534911" y="9754"/>
                                </a:lnTo>
                                <a:lnTo>
                                  <a:pt x="0" y="9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2" style="width:514.56pt;height:0.768005pt;position:absolute;mso-position-horizontal-relative:page;mso-position-horizontal:absolute;margin-left:39.84pt;mso-position-vertical-relative:page;margin-top:796.8pt;" coordsize="65349,97">
                <v:shape id="Shape 1007" style="position:absolute;width:65349;height:97;left:0;top:0;" coordsize="6534911,9754" path="m0,0l6534911,0l6534911,9754l0,9754l0,0">
                  <v:stroke weight="0pt" endcap="flat" joinstyle="miter" miterlimit="10" on="false" color="#000000" opacity="0"/>
                  <v:fill on="true" color="#313030"/>
                </v:shape>
                <w10:wrap type="topAndBottom"/>
              </v:group>
            </w:pict>
          </mc:Fallback>
        </mc:AlternateContent>
      </w:r>
      <w:r>
        <w:t>Click Finish</w:t>
      </w:r>
    </w:p>
    <w:p w14:paraId="75E016EB" w14:textId="77777777" w:rsidR="00D3577C" w:rsidRDefault="00000000">
      <w:pPr>
        <w:pStyle w:val="Heading1"/>
        <w:ind w:left="-5"/>
      </w:pPr>
      <w:r>
        <w:t>Backup Repository Setup</w:t>
      </w:r>
    </w:p>
    <w:p w14:paraId="30DC192D" w14:textId="71CF1FB1" w:rsidR="00D3577C" w:rsidRDefault="00000000">
      <w:pPr>
        <w:numPr>
          <w:ilvl w:val="0"/>
          <w:numId w:val="4"/>
        </w:numPr>
        <w:ind w:hanging="307"/>
      </w:pPr>
      <w:r>
        <w:t>Create a Veeam encryption password for the client if they do not already have one for backups.</w:t>
      </w:r>
    </w:p>
    <w:p w14:paraId="06BEAB18" w14:textId="77777777" w:rsidR="00D3577C" w:rsidRDefault="00000000">
      <w:pPr>
        <w:spacing w:after="113"/>
        <w:ind w:left="317"/>
      </w:pPr>
      <w:r>
        <w:t>if they have one, it can be reused.</w:t>
      </w:r>
    </w:p>
    <w:p w14:paraId="5BB65FBB" w14:textId="77777777" w:rsidR="00D3577C" w:rsidRDefault="00000000">
      <w:pPr>
        <w:numPr>
          <w:ilvl w:val="0"/>
          <w:numId w:val="4"/>
        </w:numPr>
        <w:spacing w:after="134"/>
        <w:ind w:hanging="307"/>
      </w:pPr>
      <w:r>
        <w:t>Go to Backup Repositories</w:t>
      </w:r>
    </w:p>
    <w:p w14:paraId="7E83629F" w14:textId="77777777" w:rsidR="00D3577C" w:rsidRDefault="00000000">
      <w:pPr>
        <w:numPr>
          <w:ilvl w:val="0"/>
          <w:numId w:val="4"/>
        </w:numPr>
        <w:ind w:hanging="307"/>
      </w:pPr>
      <w:r>
        <w:t>Add new Repository</w:t>
      </w:r>
    </w:p>
    <w:p w14:paraId="116B57DD" w14:textId="77777777" w:rsidR="00D3577C" w:rsidRDefault="00000000">
      <w:pPr>
        <w:ind w:left="317"/>
      </w:pPr>
      <w:r>
        <w:t>Name: [Client Acronym] Backup Repository</w:t>
      </w:r>
    </w:p>
    <w:p w14:paraId="1E823910" w14:textId="3C976EF9" w:rsidR="00D3577C" w:rsidRDefault="00000000" w:rsidP="00C55FE0">
      <w:pPr>
        <w:spacing w:after="0"/>
        <w:ind w:left="317"/>
      </w:pPr>
      <w:r>
        <w:t>Description should be changed to have your name as creator</w:t>
      </w:r>
    </w:p>
    <w:p w14:paraId="04D3ED9D" w14:textId="77777777" w:rsidR="00D3577C" w:rsidRDefault="00000000">
      <w:pPr>
        <w:numPr>
          <w:ilvl w:val="0"/>
          <w:numId w:val="4"/>
        </w:numPr>
        <w:ind w:hanging="307"/>
      </w:pPr>
      <w:r>
        <w:t>Set the proxy as the local server</w:t>
      </w:r>
    </w:p>
    <w:p w14:paraId="514F487F" w14:textId="77777777" w:rsidR="00D3577C" w:rsidRDefault="00000000">
      <w:pPr>
        <w:spacing w:after="113"/>
        <w:ind w:left="317"/>
      </w:pPr>
      <w:r>
        <w:t>Set the path for C:\VeeamSnapshotRepository\Veeam365Local</w:t>
      </w:r>
    </w:p>
    <w:p w14:paraId="699D0D45" w14:textId="77777777" w:rsidR="00D3577C" w:rsidRDefault="00000000">
      <w:pPr>
        <w:numPr>
          <w:ilvl w:val="0"/>
          <w:numId w:val="4"/>
        </w:numPr>
        <w:ind w:hanging="307"/>
      </w:pPr>
      <w:r>
        <w:t>Offload Backup data to object storage should be set to the blob for that client</w:t>
      </w:r>
    </w:p>
    <w:p w14:paraId="491307CD" w14:textId="77777777" w:rsidR="00D3577C" w:rsidRDefault="00000000">
      <w:pPr>
        <w:spacing w:after="10"/>
        <w:ind w:left="317"/>
      </w:pPr>
      <w:r>
        <w:t xml:space="preserve">Encrypt data should be set to the password for the client and the hint should be set to have the </w:t>
      </w:r>
      <w:proofErr w:type="gramStart"/>
      <w:r>
        <w:t>client</w:t>
      </w:r>
      <w:proofErr w:type="gramEnd"/>
      <w:r>
        <w:t xml:space="preserve"> name and who it was created by in the password setup. This is what shows when it is selected </w:t>
      </w:r>
    </w:p>
    <w:p w14:paraId="18358668" w14:textId="77777777" w:rsidR="00D3577C" w:rsidRDefault="00000000">
      <w:pPr>
        <w:numPr>
          <w:ilvl w:val="0"/>
          <w:numId w:val="4"/>
        </w:numPr>
        <w:ind w:hanging="307"/>
      </w:pPr>
      <w:r>
        <w:t>Set Retention Policy to 1 year, Snapshot based retention.</w:t>
      </w:r>
    </w:p>
    <w:p w14:paraId="58720E09" w14:textId="77777777" w:rsidR="00D3577C" w:rsidRDefault="00000000">
      <w:pPr>
        <w:spacing w:after="0"/>
        <w:ind w:left="317"/>
      </w:pPr>
      <w:r>
        <w:t>Advanced settings are set to Monthly 12am First Sunday</w:t>
      </w:r>
    </w:p>
    <w:p w14:paraId="6797DD87" w14:textId="65391CF5" w:rsidR="00D3577C" w:rsidRDefault="00D3577C">
      <w:pPr>
        <w:spacing w:after="24" w:line="259" w:lineRule="auto"/>
        <w:ind w:left="-5"/>
      </w:pPr>
    </w:p>
    <w:sectPr w:rsidR="00D3577C">
      <w:pgSz w:w="11900" w:h="16840"/>
      <w:pgMar w:top="1440" w:right="811" w:bottom="1440" w:left="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686C" w14:textId="77777777" w:rsidR="00714D5A" w:rsidRDefault="00714D5A" w:rsidP="00C55FE0">
      <w:pPr>
        <w:spacing w:after="0" w:line="240" w:lineRule="auto"/>
      </w:pPr>
      <w:r>
        <w:separator/>
      </w:r>
    </w:p>
  </w:endnote>
  <w:endnote w:type="continuationSeparator" w:id="0">
    <w:p w14:paraId="393E028E" w14:textId="77777777" w:rsidR="00714D5A" w:rsidRDefault="00714D5A" w:rsidP="00C5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16B97" w14:textId="77777777" w:rsidR="00714D5A" w:rsidRDefault="00714D5A" w:rsidP="00C55FE0">
      <w:pPr>
        <w:spacing w:after="0" w:line="240" w:lineRule="auto"/>
      </w:pPr>
      <w:r>
        <w:separator/>
      </w:r>
    </w:p>
  </w:footnote>
  <w:footnote w:type="continuationSeparator" w:id="0">
    <w:p w14:paraId="201F15AB" w14:textId="77777777" w:rsidR="00714D5A" w:rsidRDefault="00714D5A" w:rsidP="00C55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AEA"/>
    <w:multiLevelType w:val="hybridMultilevel"/>
    <w:tmpl w:val="5114DFC6"/>
    <w:lvl w:ilvl="0" w:tplc="552CFD18">
      <w:start w:val="4"/>
      <w:numFmt w:val="decimal"/>
      <w:lvlText w:val="%1.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9EA3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3050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AEA6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84CB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4C1D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88A8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86FD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AEC2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122CD6"/>
    <w:multiLevelType w:val="hybridMultilevel"/>
    <w:tmpl w:val="73E6C424"/>
    <w:lvl w:ilvl="0" w:tplc="4282DAAA">
      <w:start w:val="1"/>
      <w:numFmt w:val="decimal"/>
      <w:lvlText w:val="%1.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A65C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EA92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0263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12ED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4AE4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04DB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AE6C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EE80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D71644"/>
    <w:multiLevelType w:val="hybridMultilevel"/>
    <w:tmpl w:val="B1BC2D90"/>
    <w:lvl w:ilvl="0" w:tplc="76C00FBE">
      <w:start w:val="1"/>
      <w:numFmt w:val="decimal"/>
      <w:lvlText w:val="%1.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8849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C49E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CCC3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D090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BC62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ECEF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0A66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943B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D020A5"/>
    <w:multiLevelType w:val="hybridMultilevel"/>
    <w:tmpl w:val="05723270"/>
    <w:lvl w:ilvl="0" w:tplc="62061A94">
      <w:start w:val="1"/>
      <w:numFmt w:val="decimal"/>
      <w:lvlText w:val="%1.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C846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601C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96D6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E699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34E3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D0BF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9A43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6CA0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364014">
    <w:abstractNumId w:val="2"/>
  </w:num>
  <w:num w:numId="2" w16cid:durableId="1256279453">
    <w:abstractNumId w:val="1"/>
  </w:num>
  <w:num w:numId="3" w16cid:durableId="1826699603">
    <w:abstractNumId w:val="0"/>
  </w:num>
  <w:num w:numId="4" w16cid:durableId="742141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77C"/>
    <w:rsid w:val="00714D5A"/>
    <w:rsid w:val="00C55FE0"/>
    <w:rsid w:val="00D3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F4C7"/>
  <w15:docId w15:val="{AD717809-5980-473F-95C2-F22F7190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70" w:lineRule="auto"/>
      <w:ind w:left="10" w:hanging="10"/>
    </w:pPr>
    <w:rPr>
      <w:rFonts w:ascii="Calibri" w:eastAsia="Calibri" w:hAnsi="Calibri" w:cs="Calibri"/>
      <w:color w:val="33333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333333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33333"/>
      <w:sz w:val="46"/>
    </w:rPr>
  </w:style>
  <w:style w:type="paragraph" w:styleId="Header">
    <w:name w:val="header"/>
    <w:basedOn w:val="Normal"/>
    <w:link w:val="HeaderChar"/>
    <w:uiPriority w:val="99"/>
    <w:unhideWhenUsed/>
    <w:rsid w:val="00C55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FE0"/>
    <w:rPr>
      <w:rFonts w:ascii="Calibri" w:eastAsia="Calibri" w:hAnsi="Calibri" w:cs="Calibri"/>
      <w:color w:val="333333"/>
    </w:rPr>
  </w:style>
  <w:style w:type="paragraph" w:styleId="Footer">
    <w:name w:val="footer"/>
    <w:basedOn w:val="Normal"/>
    <w:link w:val="FooterChar"/>
    <w:uiPriority w:val="99"/>
    <w:unhideWhenUsed/>
    <w:rsid w:val="00C55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FE0"/>
    <w:rPr>
      <w:rFonts w:ascii="Calibri" w:eastAsia="Calibri" w:hAnsi="Calibri" w:cs="Calibri"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Correa</dc:creator>
  <cp:keywords/>
  <cp:lastModifiedBy>Luis Correa</cp:lastModifiedBy>
  <cp:revision>2</cp:revision>
  <dcterms:created xsi:type="dcterms:W3CDTF">2022-12-10T12:46:00Z</dcterms:created>
  <dcterms:modified xsi:type="dcterms:W3CDTF">2022-12-10T12:46:00Z</dcterms:modified>
</cp:coreProperties>
</file>